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527D" w14:textId="64DD50CD" w:rsidR="00E8214B" w:rsidRDefault="00E8214B" w:rsidP="00D57BF5">
      <w:pPr>
        <w:jc w:val="both"/>
        <w:rPr>
          <w:b/>
        </w:rPr>
      </w:pPr>
      <w:r w:rsidRPr="00E8214B">
        <w:rPr>
          <w:b/>
        </w:rPr>
        <w:t xml:space="preserve">Ryo Oda, &amp; Hayashi, K. (2020). The ideal romantic partner morality. </w:t>
      </w:r>
      <w:r w:rsidRPr="00E8214B">
        <w:rPr>
          <w:b/>
          <w:i/>
        </w:rPr>
        <w:t>Letters on Evolutionary Behavioral Science</w:t>
      </w:r>
      <w:r w:rsidRPr="00E8214B">
        <w:rPr>
          <w:b/>
        </w:rPr>
        <w:t>.</w:t>
      </w:r>
    </w:p>
    <w:p w14:paraId="1971A889" w14:textId="77777777" w:rsidR="00E8214B" w:rsidRPr="00E8214B" w:rsidRDefault="00E8214B" w:rsidP="00D57BF5">
      <w:pPr>
        <w:jc w:val="both"/>
      </w:pPr>
    </w:p>
    <w:p w14:paraId="0BA0B7F8" w14:textId="77777777" w:rsidR="00E8214B" w:rsidRDefault="00E8214B" w:rsidP="00D57BF5">
      <w:pPr>
        <w:jc w:val="both"/>
      </w:pPr>
    </w:p>
    <w:p w14:paraId="02768DFE" w14:textId="2E083331" w:rsidR="00D57BF5" w:rsidRPr="00D57BF5" w:rsidRDefault="00D57BF5" w:rsidP="00D57BF5">
      <w:pPr>
        <w:jc w:val="both"/>
      </w:pPr>
      <w:r>
        <w:t>Supplementa</w:t>
      </w:r>
      <w:r w:rsidR="00F239CF">
        <w:t>ry</w:t>
      </w:r>
      <w:r>
        <w:t xml:space="preserve">: </w:t>
      </w:r>
      <w:r w:rsidR="00AE1A15">
        <w:t xml:space="preserve">A conceptual replication of </w:t>
      </w:r>
      <w:r w:rsidR="00AE1A15" w:rsidRPr="00E73ED9">
        <w:t xml:space="preserve">aspirational assortative preferences for </w:t>
      </w:r>
      <w:r w:rsidR="00AE1A15">
        <w:t>the Big Five</w:t>
      </w:r>
      <w:r w:rsidR="00AE1A15" w:rsidRPr="00E73ED9">
        <w:t xml:space="preserve"> personality traits</w:t>
      </w:r>
    </w:p>
    <w:p w14:paraId="2DD6E222" w14:textId="77777777" w:rsidR="00D57BF5" w:rsidRDefault="00D57BF5" w:rsidP="00D57BF5">
      <w:pPr>
        <w:jc w:val="both"/>
      </w:pPr>
    </w:p>
    <w:p w14:paraId="54C88BE2" w14:textId="311BD636" w:rsidR="00E73ED9" w:rsidRPr="00E73ED9" w:rsidRDefault="00E73ED9" w:rsidP="00D57BF5">
      <w:pPr>
        <w:jc w:val="both"/>
      </w:pPr>
      <w:r w:rsidRPr="00E73ED9">
        <w:t>Several studies have investigated aspirational assortative preferences for basic personality traits (</w:t>
      </w:r>
      <w:proofErr w:type="spellStart"/>
      <w:r w:rsidRPr="00E73ED9">
        <w:t>Botwin</w:t>
      </w:r>
      <w:proofErr w:type="spellEnd"/>
      <w:r w:rsidR="000D4BBD">
        <w:t xml:space="preserve"> et al.</w:t>
      </w:r>
      <w:r w:rsidR="00657A94">
        <w:t>,</w:t>
      </w:r>
      <w:r w:rsidRPr="00E73ED9">
        <w:t xml:space="preserve"> 1997; Dijkstra </w:t>
      </w:r>
      <w:r w:rsidR="00657A94">
        <w:t>&amp;</w:t>
      </w:r>
      <w:r w:rsidRPr="00E73ED9">
        <w:t xml:space="preserve"> </w:t>
      </w:r>
      <w:proofErr w:type="spellStart"/>
      <w:r w:rsidRPr="00E73ED9">
        <w:t>Barelds</w:t>
      </w:r>
      <w:proofErr w:type="spellEnd"/>
      <w:r w:rsidR="00657A94">
        <w:t>,</w:t>
      </w:r>
      <w:r w:rsidRPr="00E73ED9">
        <w:t xml:space="preserve"> 2008; Figueredo</w:t>
      </w:r>
      <w:r w:rsidR="000D4BBD">
        <w:t xml:space="preserve"> et al.</w:t>
      </w:r>
      <w:r w:rsidR="00657A94">
        <w:t>,</w:t>
      </w:r>
      <w:r w:rsidRPr="00E73ED9">
        <w:t xml:space="preserve"> 2006), reporting significant correlations between self-ratings and ideal partner ratings for some traits. According to previous studies, self-ratings and ideal partner ratings exhibited correlations (</w:t>
      </w:r>
      <w:proofErr w:type="spellStart"/>
      <w:r w:rsidRPr="00E73ED9">
        <w:t>r-values</w:t>
      </w:r>
      <w:proofErr w:type="spellEnd"/>
      <w:r w:rsidRPr="00E73ED9">
        <w:t>) ranging from .24 to .81 for Openness, .34 to .61 for Conscientiousness, .30 to .60 for Extraversion, .30 to .73 for Agreeableness, and .20 to .52 for Neuroticism (</w:t>
      </w:r>
      <w:proofErr w:type="spellStart"/>
      <w:r w:rsidRPr="00E73ED9">
        <w:t>Botwin</w:t>
      </w:r>
      <w:proofErr w:type="spellEnd"/>
      <w:r w:rsidRPr="00E73ED9">
        <w:t xml:space="preserve"> et al.</w:t>
      </w:r>
      <w:r w:rsidR="00657A94">
        <w:t>,</w:t>
      </w:r>
      <w:r w:rsidRPr="00E73ED9">
        <w:t xml:space="preserve"> 1997; Dijkstra </w:t>
      </w:r>
      <w:r w:rsidR="00657A94">
        <w:t>&amp;</w:t>
      </w:r>
      <w:r w:rsidRPr="00E73ED9">
        <w:t xml:space="preserve"> </w:t>
      </w:r>
      <w:proofErr w:type="spellStart"/>
      <w:r w:rsidRPr="00E73ED9">
        <w:t>Barelds</w:t>
      </w:r>
      <w:proofErr w:type="spellEnd"/>
      <w:r w:rsidR="00657A94">
        <w:t>,</w:t>
      </w:r>
      <w:r w:rsidRPr="00E73ED9">
        <w:t xml:space="preserve"> 2008; Figueredo et al.</w:t>
      </w:r>
      <w:r w:rsidR="00657A94">
        <w:t>,</w:t>
      </w:r>
      <w:r w:rsidRPr="00E73ED9">
        <w:t xml:space="preserve"> 2006). Moreover, according to Figueredo et al. (2006), in a study of aspirational assortative preference, mean differences between self-ratings and ideal partner ratings were .03 for Openness, .32 for Conscientiousness, .08 for Extraversion, .24 for Agreeableness, and -.79 for Neuroticism. </w:t>
      </w:r>
      <w:r w:rsidR="00D57BF5">
        <w:t xml:space="preserve">Here we conceptually replicated </w:t>
      </w:r>
      <w:r w:rsidR="00D57BF5" w:rsidRPr="00E73ED9">
        <w:t>Figueredo et al. (2006)</w:t>
      </w:r>
      <w:r w:rsidR="00D57BF5">
        <w:t>.</w:t>
      </w:r>
    </w:p>
    <w:p w14:paraId="5450092C" w14:textId="77777777" w:rsidR="003A4494" w:rsidRPr="00552ACF" w:rsidRDefault="003A4494" w:rsidP="00B62B9A">
      <w:pPr>
        <w:jc w:val="both"/>
        <w:rPr>
          <w:rFonts w:eastAsia="ＭＳ 明朝"/>
        </w:rPr>
      </w:pPr>
    </w:p>
    <w:p w14:paraId="121CDEC8" w14:textId="77777777" w:rsidR="00847AA8" w:rsidRPr="009B08D3" w:rsidRDefault="00847AA8" w:rsidP="00B62B9A">
      <w:pPr>
        <w:jc w:val="both"/>
      </w:pPr>
    </w:p>
    <w:p w14:paraId="31D49562" w14:textId="6CE44FA1" w:rsidR="008C02B4" w:rsidRDefault="008C4941" w:rsidP="00B62B9A">
      <w:pPr>
        <w:jc w:val="both"/>
        <w:outlineLvl w:val="0"/>
      </w:pPr>
      <w:r>
        <w:t>Method</w:t>
      </w:r>
      <w:r w:rsidR="00CB45B7">
        <w:t>s</w:t>
      </w:r>
    </w:p>
    <w:p w14:paraId="39976FB3" w14:textId="2BE71199" w:rsidR="0064370A" w:rsidRPr="00CB45B7" w:rsidRDefault="00D32946" w:rsidP="00B62B9A">
      <w:pPr>
        <w:jc w:val="both"/>
        <w:outlineLvl w:val="0"/>
        <w:rPr>
          <w:i/>
          <w:iCs/>
        </w:rPr>
      </w:pPr>
      <w:r w:rsidRPr="00CB45B7">
        <w:rPr>
          <w:i/>
          <w:iCs/>
        </w:rPr>
        <w:t>Participants</w:t>
      </w:r>
    </w:p>
    <w:p w14:paraId="44546A34" w14:textId="56D3872E" w:rsidR="00685B78" w:rsidRPr="00685B78" w:rsidRDefault="00685B78" w:rsidP="00B62B9A">
      <w:pPr>
        <w:jc w:val="both"/>
      </w:pPr>
      <w:r>
        <w:t>In total, 185</w:t>
      </w:r>
      <w:r w:rsidRPr="00685B78">
        <w:t xml:space="preserve"> Japanese undergraduates (</w:t>
      </w:r>
      <w:r>
        <w:t>101</w:t>
      </w:r>
      <w:r w:rsidRPr="00685B78">
        <w:t xml:space="preserve"> females, </w:t>
      </w:r>
      <w:r>
        <w:t>84 males</w:t>
      </w:r>
      <w:r w:rsidR="0007149C">
        <w:t>;</w:t>
      </w:r>
      <w:r>
        <w:t xml:space="preserve"> </w:t>
      </w:r>
      <w:r w:rsidRPr="00685B78">
        <w:t>mean age:</w:t>
      </w:r>
      <w:r>
        <w:t xml:space="preserve"> </w:t>
      </w:r>
      <w:r w:rsidR="00B92EF9">
        <w:t xml:space="preserve">19.3 </w:t>
      </w:r>
      <w:r w:rsidRPr="00685B78">
        <w:t>±</w:t>
      </w:r>
      <w:r>
        <w:t xml:space="preserve"> </w:t>
      </w:r>
      <w:r w:rsidR="0007149C">
        <w:t>1.3</w:t>
      </w:r>
      <w:r w:rsidR="00FF216A">
        <w:t xml:space="preserve"> years</w:t>
      </w:r>
      <w:r w:rsidRPr="00685B78">
        <w:t>) at two universities</w:t>
      </w:r>
      <w:r>
        <w:t xml:space="preserve"> </w:t>
      </w:r>
      <w:r w:rsidRPr="00685B78">
        <w:t>participated. They responded to a paper and</w:t>
      </w:r>
      <w:r>
        <w:t xml:space="preserve"> </w:t>
      </w:r>
      <w:r w:rsidRPr="00685B78">
        <w:t>pencil questionnaire in classrooms and received no</w:t>
      </w:r>
      <w:r>
        <w:t xml:space="preserve"> </w:t>
      </w:r>
      <w:r w:rsidRPr="00685B78">
        <w:t>monetary reward for their involvement.</w:t>
      </w:r>
      <w:r w:rsidR="002E7F0A">
        <w:t xml:space="preserve"> </w:t>
      </w:r>
      <w:r w:rsidR="002E7F0A" w:rsidRPr="00907ECA">
        <w:t>Informed consent was obtained from all participants</w:t>
      </w:r>
      <w:r w:rsidR="002E7F0A">
        <w:rPr>
          <w:rFonts w:hint="eastAsia"/>
        </w:rPr>
        <w:t xml:space="preserve"> </w:t>
      </w:r>
      <w:r w:rsidR="002E7F0A" w:rsidRPr="00907ECA">
        <w:t>included in the study.</w:t>
      </w:r>
    </w:p>
    <w:p w14:paraId="2DEA1BBA" w14:textId="77777777" w:rsidR="00D32946" w:rsidRPr="00685B78" w:rsidRDefault="00D32946" w:rsidP="00B62B9A">
      <w:pPr>
        <w:jc w:val="both"/>
      </w:pPr>
    </w:p>
    <w:p w14:paraId="76735F65" w14:textId="63512D0B" w:rsidR="008C7687" w:rsidRPr="00CB45B7" w:rsidRDefault="009D0385" w:rsidP="00B62B9A">
      <w:pPr>
        <w:jc w:val="both"/>
        <w:outlineLvl w:val="0"/>
        <w:rPr>
          <w:i/>
          <w:iCs/>
        </w:rPr>
      </w:pPr>
      <w:r w:rsidRPr="00CB45B7">
        <w:rPr>
          <w:i/>
          <w:iCs/>
        </w:rPr>
        <w:t>Measures</w:t>
      </w:r>
    </w:p>
    <w:p w14:paraId="136BCDEE" w14:textId="5DDFA707" w:rsidR="003807B8" w:rsidRDefault="0089649E" w:rsidP="00B62B9A">
      <w:pPr>
        <w:jc w:val="both"/>
      </w:pPr>
      <w:r w:rsidRPr="0089649E">
        <w:t xml:space="preserve">BFS-SELF: We employed a short form of the Japanese Big-Five Scale (BFS), developed by </w:t>
      </w:r>
      <w:proofErr w:type="spellStart"/>
      <w:r w:rsidRPr="0089649E">
        <w:t>Namikawa</w:t>
      </w:r>
      <w:proofErr w:type="spellEnd"/>
      <w:r w:rsidRPr="0089649E">
        <w:t xml:space="preserve"> et al. (2012) based on the Big-Five Scale of Personality Trait Adjectives (Wada</w:t>
      </w:r>
      <w:r w:rsidR="00657A94">
        <w:t>,</w:t>
      </w:r>
      <w:r w:rsidRPr="0089649E">
        <w:t xml:space="preserve"> 1996) and used commonly in Japan. The short form version contains 29 statements rated using a five-point Likert scale ranging from not applicable (1) to applicable (5). The scale demonstrates sufficient reliability and validity despite the reduced number of items.</w:t>
      </w:r>
    </w:p>
    <w:p w14:paraId="3DB892D0" w14:textId="77777777" w:rsidR="0089649E" w:rsidRDefault="0089649E" w:rsidP="00B62B9A">
      <w:pPr>
        <w:jc w:val="both"/>
      </w:pPr>
    </w:p>
    <w:p w14:paraId="72238665" w14:textId="77777777" w:rsidR="0089649E" w:rsidRPr="0089649E" w:rsidRDefault="0089649E" w:rsidP="00B62B9A">
      <w:pPr>
        <w:jc w:val="both"/>
      </w:pPr>
      <w:r w:rsidRPr="0089649E">
        <w:t>BFS-IDEAL: The instrument used to investigate personality traits of the “ideal romantic partner” is an adapted form of the original short form of the Japanese BFS. To create a questionnaire concerned specifically with an individual’s ideal romantic partner, the question “To what extent do you think these items apply to yourself?” was replaced with “To what extent do these items apply to your ideal long-term partner?”.</w:t>
      </w:r>
    </w:p>
    <w:p w14:paraId="57E7D670" w14:textId="77777777" w:rsidR="0089649E" w:rsidRPr="0089649E" w:rsidRDefault="0089649E" w:rsidP="00B62B9A">
      <w:pPr>
        <w:jc w:val="both"/>
      </w:pPr>
    </w:p>
    <w:p w14:paraId="741A695D" w14:textId="48FE14B4" w:rsidR="0089649E" w:rsidRPr="0089649E" w:rsidRDefault="0089649E" w:rsidP="00B62B9A">
      <w:pPr>
        <w:jc w:val="both"/>
      </w:pPr>
      <w:r w:rsidRPr="0089649E">
        <w:t>These scales</w:t>
      </w:r>
      <w:r w:rsidR="00657A94">
        <w:t>,</w:t>
      </w:r>
      <w:r w:rsidR="00657A94" w:rsidRPr="00657A94">
        <w:t xml:space="preserve"> </w:t>
      </w:r>
      <w:r w:rsidR="00657A94">
        <w:t>as well as MFQ-SELF and MFQ-IDEAL (see the main text),</w:t>
      </w:r>
      <w:r w:rsidRPr="0089649E">
        <w:t xml:space="preserve"> were bound into a booklet and administered to participants. It was emphasized in the instructions that the participants should consider their own ideal romantic partner, rather than that which they believed the rest of society </w:t>
      </w:r>
      <w:r w:rsidRPr="0089649E">
        <w:lastRenderedPageBreak/>
        <w:t>might consider ideal. The MFQ-IDEAL was completed first, followed by the BFS</w:t>
      </w:r>
      <w:r w:rsidR="00701E0E" w:rsidRPr="0089649E">
        <w:t>-</w:t>
      </w:r>
      <w:r w:rsidRPr="0089649E">
        <w:t>IDEAL, MFQ-SELF, and then the BFS-SELF.</w:t>
      </w:r>
      <w:r w:rsidR="00D81F9C" w:rsidRPr="00D81F9C">
        <w:t xml:space="preserve"> </w:t>
      </w:r>
      <w:r w:rsidR="00D81F9C" w:rsidRPr="00443E47">
        <w:t xml:space="preserve">The study was approved by the </w:t>
      </w:r>
      <w:r w:rsidR="00D81F9C">
        <w:t>Bioe</w:t>
      </w:r>
      <w:r w:rsidR="00D81F9C" w:rsidRPr="00443E47">
        <w:t xml:space="preserve">thics </w:t>
      </w:r>
      <w:r w:rsidR="00D81F9C">
        <w:t xml:space="preserve">Review </w:t>
      </w:r>
      <w:r w:rsidR="00D81F9C" w:rsidRPr="00443E47">
        <w:t>Committee</w:t>
      </w:r>
      <w:r w:rsidR="00D81F9C">
        <w:t xml:space="preserve"> of Nagoya Institute of Technology (No. 30-001)</w:t>
      </w:r>
      <w:r w:rsidR="00D81F9C" w:rsidRPr="00443E47">
        <w:t>.</w:t>
      </w:r>
    </w:p>
    <w:p w14:paraId="3CAF3648" w14:textId="77777777" w:rsidR="00685B78" w:rsidRPr="0089649E" w:rsidRDefault="00685B78" w:rsidP="00B62B9A">
      <w:pPr>
        <w:jc w:val="both"/>
      </w:pPr>
    </w:p>
    <w:p w14:paraId="47C285AB" w14:textId="48BB73CF" w:rsidR="0037329F" w:rsidRPr="00CB45B7" w:rsidRDefault="00B8304A" w:rsidP="00B62B9A">
      <w:pPr>
        <w:jc w:val="both"/>
        <w:outlineLvl w:val="0"/>
        <w:rPr>
          <w:i/>
          <w:iCs/>
        </w:rPr>
      </w:pPr>
      <w:r w:rsidRPr="00CB45B7">
        <w:rPr>
          <w:i/>
          <w:iCs/>
        </w:rPr>
        <w:t>Statistical analyses</w:t>
      </w:r>
    </w:p>
    <w:p w14:paraId="1AD1516B" w14:textId="77777777" w:rsidR="00B63955" w:rsidRPr="00B63955" w:rsidRDefault="00B63955" w:rsidP="00B63955">
      <w:pPr>
        <w:jc w:val="both"/>
      </w:pPr>
      <w:r w:rsidRPr="00B63955">
        <w:t>Bivariate correlations between self and ideal romantic partner ratings were calculated for all factors. Self-scores were subtracted from those of the ideal romantic partner factors and tested against zero to identify discrepancies between the ratings of self and ideal romantic partners. A power analysis using G*Power 3.1 showed that a sample of 84 participants was required to compare the correlation with 0, given an effect size of 0.3 (medium; Cohen, 1992), power of .80 and an alpha of .05 and that a sample of 64 participants in each group was required to detect a between-group difference, given an effect size of 0.5 (medium; Cohen, 1992), a power of .80 and an alpha of .05 (t-test). Thus, our sample size was sufficient for the analyses performed.</w:t>
      </w:r>
    </w:p>
    <w:p w14:paraId="284A529F" w14:textId="189BCE27" w:rsidR="008B10A5" w:rsidRPr="00B63955" w:rsidRDefault="008B10A5" w:rsidP="00B62B9A">
      <w:pPr>
        <w:jc w:val="both"/>
      </w:pPr>
    </w:p>
    <w:p w14:paraId="3E06DC9B" w14:textId="77777777" w:rsidR="009B08D3" w:rsidRPr="00E61658" w:rsidRDefault="009B08D3" w:rsidP="00B62B9A">
      <w:pPr>
        <w:jc w:val="both"/>
      </w:pPr>
    </w:p>
    <w:p w14:paraId="2CF799D0" w14:textId="388D8E63" w:rsidR="008C02B4" w:rsidRDefault="008C4941" w:rsidP="00B62B9A">
      <w:pPr>
        <w:jc w:val="both"/>
        <w:outlineLvl w:val="0"/>
      </w:pPr>
      <w:r>
        <w:t>Results</w:t>
      </w:r>
    </w:p>
    <w:p w14:paraId="715A9B7A" w14:textId="3AC73DA9" w:rsidR="00B679CB" w:rsidRPr="00B679CB" w:rsidRDefault="00B679CB" w:rsidP="00B679CB">
      <w:pPr>
        <w:jc w:val="both"/>
      </w:pPr>
      <w:r w:rsidRPr="00B679CB">
        <w:t xml:space="preserve">Females evaluated their ideal partner as more agreeable than did males (Table </w:t>
      </w:r>
      <w:r w:rsidR="00AE1A15">
        <w:t>S1</w:t>
      </w:r>
      <w:r w:rsidRPr="00B679CB">
        <w:rPr>
          <w:rFonts w:hint="eastAsia"/>
        </w:rPr>
        <w:t>)</w:t>
      </w:r>
      <w:r w:rsidRPr="00B679CB">
        <w:t xml:space="preserve">, and females assessed themselves as more extraverted and neurotic than did males (Table </w:t>
      </w:r>
      <w:r w:rsidR="00AE1A15">
        <w:t>S2</w:t>
      </w:r>
      <w:r w:rsidRPr="00B679CB">
        <w:t xml:space="preserve">). Correlations between self and ideal romantic partner ratings on these same factors were statistically significant, except for Neuroticism (Table </w:t>
      </w:r>
      <w:r w:rsidR="00AE1A15">
        <w:t>S3</w:t>
      </w:r>
      <w:r w:rsidRPr="00B679CB">
        <w:t xml:space="preserve">). In females, the correlation for Neuroticism was significant, while it was almost zero in males. In contrast, the correlation for Agreeableness was significant only in females. Differences between the scores on the self-rated factors and those of the ideal romantic partner factors deviated significantly from zero for all of the factors (Table </w:t>
      </w:r>
      <w:r w:rsidR="00AE1A15">
        <w:t>S4</w:t>
      </w:r>
      <w:r w:rsidRPr="00B679CB">
        <w:t xml:space="preserve">). Participants sought partners who had somewhat higher scores than themselves for Openness, Conscientiousness, Extraversion, and Agreeableness, and somewhat lower scores for Neuroticism. The deviation in Extraversion scores between self-rated and ideal romantic partner scores was significantly greater in males than females, while those for Neuroticism and Agreeableness were greater in females (Table </w:t>
      </w:r>
      <w:r w:rsidR="00AE1A15">
        <w:t>S4</w:t>
      </w:r>
      <w:r w:rsidRPr="00B679CB">
        <w:t>).</w:t>
      </w:r>
    </w:p>
    <w:p w14:paraId="4802F100" w14:textId="73565DB8" w:rsidR="00C818F2" w:rsidRDefault="00C818F2" w:rsidP="00B62B9A">
      <w:pPr>
        <w:jc w:val="both"/>
      </w:pPr>
    </w:p>
    <w:p w14:paraId="33246963" w14:textId="4B410F2F" w:rsidR="00CB45B7" w:rsidRDefault="00CB45B7" w:rsidP="00CB45B7">
      <w:pPr>
        <w:jc w:val="both"/>
        <w:outlineLvl w:val="0"/>
      </w:pPr>
      <w:r w:rsidRPr="002D490A">
        <w:t xml:space="preserve">Table S1. </w:t>
      </w:r>
      <w:r>
        <w:t>Scores of each factor in BFS-</w:t>
      </w:r>
      <w:r w:rsidRPr="006B54EE">
        <w:t>IDEAL</w:t>
      </w:r>
    </w:p>
    <w:tbl>
      <w:tblPr>
        <w:tblStyle w:val="a3"/>
        <w:tblW w:w="9639" w:type="dxa"/>
        <w:tblInd w:w="1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992"/>
        <w:gridCol w:w="993"/>
        <w:gridCol w:w="992"/>
        <w:gridCol w:w="992"/>
        <w:gridCol w:w="1134"/>
        <w:gridCol w:w="992"/>
      </w:tblGrid>
      <w:tr w:rsidR="00CB45B7" w:rsidRPr="006B54EE" w14:paraId="0A27CD33" w14:textId="77777777" w:rsidTr="00813947">
        <w:tc>
          <w:tcPr>
            <w:tcW w:w="2127" w:type="dxa"/>
            <w:tcBorders>
              <w:top w:val="single" w:sz="4" w:space="0" w:color="auto"/>
              <w:bottom w:val="nil"/>
            </w:tcBorders>
          </w:tcPr>
          <w:p w14:paraId="16EBBFC0" w14:textId="77777777" w:rsidR="00CB45B7" w:rsidRPr="006B54EE" w:rsidRDefault="00CB45B7" w:rsidP="00813947">
            <w:pPr>
              <w:jc w:val="both"/>
            </w:pPr>
          </w:p>
        </w:tc>
        <w:tc>
          <w:tcPr>
            <w:tcW w:w="1417" w:type="dxa"/>
            <w:vMerge w:val="restart"/>
            <w:tcBorders>
              <w:top w:val="single" w:sz="4" w:space="0" w:color="auto"/>
              <w:bottom w:val="nil"/>
            </w:tcBorders>
          </w:tcPr>
          <w:p w14:paraId="6D27F8D9" w14:textId="3022030B" w:rsidR="00CB45B7" w:rsidRPr="006B54EE" w:rsidRDefault="00CB45B7" w:rsidP="00813947">
            <w:pPr>
              <w:jc w:val="both"/>
            </w:pPr>
            <w:r w:rsidRPr="00294C29">
              <w:t>Cronbach</w:t>
            </w:r>
            <w:r w:rsidR="00B5767B">
              <w:t>’</w:t>
            </w:r>
            <w:r w:rsidRPr="00294C29">
              <w:t>s alpha</w:t>
            </w:r>
          </w:p>
        </w:tc>
        <w:tc>
          <w:tcPr>
            <w:tcW w:w="992" w:type="dxa"/>
            <w:tcBorders>
              <w:top w:val="single" w:sz="4" w:space="0" w:color="auto"/>
              <w:bottom w:val="single" w:sz="4" w:space="0" w:color="auto"/>
            </w:tcBorders>
          </w:tcPr>
          <w:p w14:paraId="31827D57" w14:textId="77777777" w:rsidR="00CB45B7" w:rsidRPr="006B54EE" w:rsidRDefault="00CB45B7" w:rsidP="00813947">
            <w:pPr>
              <w:jc w:val="both"/>
            </w:pPr>
            <w:r w:rsidRPr="006B54EE">
              <w:t>Female</w:t>
            </w:r>
          </w:p>
        </w:tc>
        <w:tc>
          <w:tcPr>
            <w:tcW w:w="993" w:type="dxa"/>
            <w:tcBorders>
              <w:top w:val="single" w:sz="4" w:space="0" w:color="auto"/>
              <w:bottom w:val="single" w:sz="4" w:space="0" w:color="auto"/>
            </w:tcBorders>
          </w:tcPr>
          <w:p w14:paraId="760F4AA5" w14:textId="77777777" w:rsidR="00CB45B7" w:rsidRPr="006B54EE" w:rsidRDefault="00CB45B7" w:rsidP="00813947">
            <w:pPr>
              <w:jc w:val="both"/>
            </w:pPr>
            <w:r w:rsidRPr="006B54EE">
              <w:t>Male</w:t>
            </w:r>
          </w:p>
        </w:tc>
        <w:tc>
          <w:tcPr>
            <w:tcW w:w="992" w:type="dxa"/>
            <w:tcBorders>
              <w:top w:val="single" w:sz="4" w:space="0" w:color="auto"/>
              <w:bottom w:val="nil"/>
            </w:tcBorders>
          </w:tcPr>
          <w:p w14:paraId="43AF8631" w14:textId="77777777" w:rsidR="00CB45B7" w:rsidRPr="006B54EE" w:rsidRDefault="00CB45B7" w:rsidP="00813947">
            <w:pPr>
              <w:jc w:val="both"/>
            </w:pPr>
          </w:p>
        </w:tc>
        <w:tc>
          <w:tcPr>
            <w:tcW w:w="992" w:type="dxa"/>
            <w:tcBorders>
              <w:top w:val="single" w:sz="4" w:space="0" w:color="auto"/>
              <w:bottom w:val="nil"/>
            </w:tcBorders>
          </w:tcPr>
          <w:p w14:paraId="3FBBCF28" w14:textId="77777777" w:rsidR="00CB45B7" w:rsidRDefault="00CB45B7" w:rsidP="00813947">
            <w:pPr>
              <w:jc w:val="both"/>
            </w:pPr>
          </w:p>
        </w:tc>
        <w:tc>
          <w:tcPr>
            <w:tcW w:w="1134" w:type="dxa"/>
            <w:vMerge w:val="restart"/>
            <w:tcBorders>
              <w:top w:val="single" w:sz="4" w:space="0" w:color="auto"/>
            </w:tcBorders>
          </w:tcPr>
          <w:p w14:paraId="230704B4" w14:textId="77777777" w:rsidR="00CB45B7" w:rsidRDefault="00CB45B7" w:rsidP="00813947">
            <w:pPr>
              <w:jc w:val="both"/>
            </w:pPr>
            <w:r w:rsidRPr="00127FE4">
              <w:t>Cohen’s</w:t>
            </w:r>
            <w:r>
              <w:rPr>
                <w:i/>
              </w:rPr>
              <w:t xml:space="preserve"> </w:t>
            </w:r>
            <w:r w:rsidRPr="001B720C">
              <w:rPr>
                <w:i/>
              </w:rPr>
              <w:t>d</w:t>
            </w:r>
          </w:p>
        </w:tc>
        <w:tc>
          <w:tcPr>
            <w:tcW w:w="992" w:type="dxa"/>
            <w:tcBorders>
              <w:top w:val="single" w:sz="4" w:space="0" w:color="auto"/>
              <w:bottom w:val="nil"/>
            </w:tcBorders>
          </w:tcPr>
          <w:p w14:paraId="5F4C38B1" w14:textId="77777777" w:rsidR="00CB45B7" w:rsidRPr="006B54EE" w:rsidRDefault="00CB45B7" w:rsidP="00813947">
            <w:pPr>
              <w:jc w:val="both"/>
            </w:pPr>
            <w:r>
              <w:t>All</w:t>
            </w:r>
          </w:p>
        </w:tc>
      </w:tr>
      <w:tr w:rsidR="00CB45B7" w:rsidRPr="006B54EE" w14:paraId="1DA80FD9" w14:textId="77777777" w:rsidTr="00813947">
        <w:trPr>
          <w:trHeight w:val="306"/>
        </w:trPr>
        <w:tc>
          <w:tcPr>
            <w:tcW w:w="2127" w:type="dxa"/>
            <w:tcBorders>
              <w:top w:val="nil"/>
              <w:bottom w:val="single" w:sz="4" w:space="0" w:color="auto"/>
            </w:tcBorders>
          </w:tcPr>
          <w:p w14:paraId="33F7CA69" w14:textId="77777777" w:rsidR="00CB45B7" w:rsidRPr="006B54EE" w:rsidRDefault="00CB45B7" w:rsidP="00813947">
            <w:pPr>
              <w:jc w:val="both"/>
            </w:pPr>
          </w:p>
        </w:tc>
        <w:tc>
          <w:tcPr>
            <w:tcW w:w="1417" w:type="dxa"/>
            <w:vMerge/>
            <w:tcBorders>
              <w:top w:val="nil"/>
              <w:bottom w:val="single" w:sz="4" w:space="0" w:color="auto"/>
            </w:tcBorders>
          </w:tcPr>
          <w:p w14:paraId="441CF06A" w14:textId="77777777" w:rsidR="00CB45B7" w:rsidRPr="006B54EE" w:rsidRDefault="00CB45B7" w:rsidP="00813947">
            <w:pPr>
              <w:jc w:val="both"/>
            </w:pPr>
          </w:p>
        </w:tc>
        <w:tc>
          <w:tcPr>
            <w:tcW w:w="992" w:type="dxa"/>
            <w:tcBorders>
              <w:top w:val="single" w:sz="4" w:space="0" w:color="auto"/>
              <w:bottom w:val="single" w:sz="4" w:space="0" w:color="auto"/>
            </w:tcBorders>
          </w:tcPr>
          <w:p w14:paraId="253FFD48" w14:textId="77777777" w:rsidR="00CB45B7" w:rsidRPr="006B54EE" w:rsidRDefault="00CB45B7" w:rsidP="00813947">
            <w:pPr>
              <w:jc w:val="both"/>
            </w:pPr>
            <w:r w:rsidRPr="006B54EE">
              <w:t>M±SD</w:t>
            </w:r>
          </w:p>
        </w:tc>
        <w:tc>
          <w:tcPr>
            <w:tcW w:w="993" w:type="dxa"/>
            <w:tcBorders>
              <w:top w:val="single" w:sz="4" w:space="0" w:color="auto"/>
              <w:bottom w:val="single" w:sz="4" w:space="0" w:color="auto"/>
            </w:tcBorders>
          </w:tcPr>
          <w:p w14:paraId="22E486C7" w14:textId="77777777" w:rsidR="00CB45B7" w:rsidRPr="006B54EE" w:rsidRDefault="00CB45B7" w:rsidP="00813947">
            <w:pPr>
              <w:jc w:val="both"/>
            </w:pPr>
            <w:r w:rsidRPr="006B54EE">
              <w:t>M±SD</w:t>
            </w:r>
          </w:p>
        </w:tc>
        <w:tc>
          <w:tcPr>
            <w:tcW w:w="992" w:type="dxa"/>
            <w:tcBorders>
              <w:top w:val="nil"/>
              <w:bottom w:val="single" w:sz="4" w:space="0" w:color="auto"/>
            </w:tcBorders>
          </w:tcPr>
          <w:p w14:paraId="34134F0B" w14:textId="77777777" w:rsidR="00CB45B7" w:rsidRPr="003146DB" w:rsidRDefault="00CB45B7" w:rsidP="00813947">
            <w:pPr>
              <w:jc w:val="both"/>
              <w:rPr>
                <w:i/>
              </w:rPr>
            </w:pPr>
            <w:r w:rsidRPr="003146DB">
              <w:rPr>
                <w:i/>
              </w:rPr>
              <w:t>t</w:t>
            </w:r>
          </w:p>
        </w:tc>
        <w:tc>
          <w:tcPr>
            <w:tcW w:w="992" w:type="dxa"/>
            <w:tcBorders>
              <w:top w:val="nil"/>
              <w:bottom w:val="single" w:sz="4" w:space="0" w:color="auto"/>
            </w:tcBorders>
          </w:tcPr>
          <w:p w14:paraId="63CC2F29" w14:textId="77777777" w:rsidR="00CB45B7" w:rsidRPr="003146DB" w:rsidRDefault="00CB45B7" w:rsidP="00813947">
            <w:pPr>
              <w:jc w:val="both"/>
              <w:rPr>
                <w:i/>
              </w:rPr>
            </w:pPr>
            <w:r w:rsidRPr="003146DB">
              <w:rPr>
                <w:i/>
              </w:rPr>
              <w:t>df</w:t>
            </w:r>
          </w:p>
        </w:tc>
        <w:tc>
          <w:tcPr>
            <w:tcW w:w="1134" w:type="dxa"/>
            <w:vMerge/>
            <w:tcBorders>
              <w:bottom w:val="single" w:sz="4" w:space="0" w:color="auto"/>
            </w:tcBorders>
          </w:tcPr>
          <w:p w14:paraId="2B3A33C1" w14:textId="77777777" w:rsidR="00CB45B7" w:rsidRPr="008E6F5E" w:rsidRDefault="00CB45B7" w:rsidP="00813947">
            <w:pPr>
              <w:jc w:val="both"/>
              <w:rPr>
                <w:i/>
              </w:rPr>
            </w:pPr>
          </w:p>
        </w:tc>
        <w:tc>
          <w:tcPr>
            <w:tcW w:w="992" w:type="dxa"/>
            <w:tcBorders>
              <w:top w:val="nil"/>
              <w:bottom w:val="single" w:sz="4" w:space="0" w:color="auto"/>
            </w:tcBorders>
          </w:tcPr>
          <w:p w14:paraId="72E03041" w14:textId="77777777" w:rsidR="00CB45B7" w:rsidRPr="006B54EE" w:rsidRDefault="00CB45B7" w:rsidP="00813947">
            <w:pPr>
              <w:jc w:val="both"/>
            </w:pPr>
            <w:r w:rsidRPr="006B54EE">
              <w:t>M±SD</w:t>
            </w:r>
          </w:p>
        </w:tc>
      </w:tr>
      <w:tr w:rsidR="00CB45B7" w:rsidRPr="006B54EE" w14:paraId="4FA60724" w14:textId="77777777" w:rsidTr="00813947">
        <w:trPr>
          <w:trHeight w:val="348"/>
        </w:trPr>
        <w:tc>
          <w:tcPr>
            <w:tcW w:w="2127" w:type="dxa"/>
            <w:tcBorders>
              <w:top w:val="single" w:sz="4" w:space="0" w:color="auto"/>
            </w:tcBorders>
          </w:tcPr>
          <w:p w14:paraId="5374B067" w14:textId="77777777" w:rsidR="00CB45B7" w:rsidRPr="006B54EE" w:rsidRDefault="00CB45B7" w:rsidP="00813947">
            <w:pPr>
              <w:jc w:val="both"/>
            </w:pPr>
            <w:r w:rsidRPr="00C97349">
              <w:t>Openness</w:t>
            </w:r>
          </w:p>
        </w:tc>
        <w:tc>
          <w:tcPr>
            <w:tcW w:w="1417" w:type="dxa"/>
            <w:tcBorders>
              <w:top w:val="single" w:sz="4" w:space="0" w:color="auto"/>
            </w:tcBorders>
          </w:tcPr>
          <w:p w14:paraId="3EA03E94" w14:textId="77777777" w:rsidR="00CB45B7" w:rsidRPr="006B54EE" w:rsidRDefault="00CB45B7" w:rsidP="00813947">
            <w:pPr>
              <w:jc w:val="both"/>
            </w:pPr>
            <w:r>
              <w:t>.70</w:t>
            </w:r>
          </w:p>
        </w:tc>
        <w:tc>
          <w:tcPr>
            <w:tcW w:w="992" w:type="dxa"/>
            <w:tcBorders>
              <w:top w:val="single" w:sz="4" w:space="0" w:color="auto"/>
            </w:tcBorders>
          </w:tcPr>
          <w:p w14:paraId="248D8178" w14:textId="77777777" w:rsidR="00CB45B7" w:rsidRPr="006B54EE" w:rsidRDefault="00CB45B7" w:rsidP="00813947">
            <w:pPr>
              <w:jc w:val="both"/>
            </w:pPr>
            <w:r>
              <w:t>3.7</w:t>
            </w:r>
            <w:r w:rsidRPr="00C97349">
              <w:t>±</w:t>
            </w:r>
            <w:r>
              <w:t>0.5</w:t>
            </w:r>
          </w:p>
        </w:tc>
        <w:tc>
          <w:tcPr>
            <w:tcW w:w="993" w:type="dxa"/>
            <w:tcBorders>
              <w:top w:val="single" w:sz="4" w:space="0" w:color="auto"/>
            </w:tcBorders>
          </w:tcPr>
          <w:p w14:paraId="63AC99EE" w14:textId="77777777" w:rsidR="00CB45B7" w:rsidRPr="006B54EE" w:rsidRDefault="00CB45B7" w:rsidP="00813947">
            <w:pPr>
              <w:jc w:val="both"/>
            </w:pPr>
            <w:r w:rsidRPr="00C97349">
              <w:t>3.7±0.5</w:t>
            </w:r>
          </w:p>
        </w:tc>
        <w:tc>
          <w:tcPr>
            <w:tcW w:w="992" w:type="dxa"/>
            <w:tcBorders>
              <w:top w:val="single" w:sz="4" w:space="0" w:color="auto"/>
            </w:tcBorders>
          </w:tcPr>
          <w:p w14:paraId="6F9A2848" w14:textId="77777777" w:rsidR="00CB45B7" w:rsidRPr="006B54EE" w:rsidRDefault="00CB45B7" w:rsidP="00813947">
            <w:pPr>
              <w:jc w:val="both"/>
            </w:pPr>
            <w:r>
              <w:t>-0.48</w:t>
            </w:r>
          </w:p>
        </w:tc>
        <w:tc>
          <w:tcPr>
            <w:tcW w:w="992" w:type="dxa"/>
            <w:tcBorders>
              <w:top w:val="single" w:sz="4" w:space="0" w:color="auto"/>
            </w:tcBorders>
          </w:tcPr>
          <w:p w14:paraId="080856C8" w14:textId="77777777" w:rsidR="00CB45B7" w:rsidRDefault="00CB45B7" w:rsidP="00813947">
            <w:pPr>
              <w:jc w:val="both"/>
            </w:pPr>
            <w:r>
              <w:t>176.45</w:t>
            </w:r>
          </w:p>
        </w:tc>
        <w:tc>
          <w:tcPr>
            <w:tcW w:w="1134" w:type="dxa"/>
            <w:tcBorders>
              <w:top w:val="single" w:sz="4" w:space="0" w:color="auto"/>
            </w:tcBorders>
          </w:tcPr>
          <w:p w14:paraId="42F5FD9D" w14:textId="77777777" w:rsidR="00CB45B7" w:rsidRDefault="00CB45B7" w:rsidP="00813947">
            <w:pPr>
              <w:jc w:val="both"/>
            </w:pPr>
            <w:r>
              <w:t>0.00</w:t>
            </w:r>
          </w:p>
        </w:tc>
        <w:tc>
          <w:tcPr>
            <w:tcW w:w="992" w:type="dxa"/>
            <w:tcBorders>
              <w:top w:val="single" w:sz="4" w:space="0" w:color="auto"/>
            </w:tcBorders>
          </w:tcPr>
          <w:p w14:paraId="720F4A65" w14:textId="77777777" w:rsidR="00CB45B7" w:rsidRPr="006B54EE" w:rsidRDefault="00CB45B7" w:rsidP="00813947">
            <w:pPr>
              <w:jc w:val="both"/>
            </w:pPr>
            <w:r>
              <w:t>3.7</w:t>
            </w:r>
            <w:r w:rsidRPr="00C97349">
              <w:t>±</w:t>
            </w:r>
            <w:r>
              <w:t>0.5</w:t>
            </w:r>
          </w:p>
        </w:tc>
      </w:tr>
      <w:tr w:rsidR="00CB45B7" w:rsidRPr="006B54EE" w14:paraId="19EBF49E" w14:textId="77777777" w:rsidTr="00813947">
        <w:trPr>
          <w:trHeight w:val="342"/>
        </w:trPr>
        <w:tc>
          <w:tcPr>
            <w:tcW w:w="2127" w:type="dxa"/>
          </w:tcPr>
          <w:p w14:paraId="2F6CD30F" w14:textId="77777777" w:rsidR="00CB45B7" w:rsidRPr="006B54EE" w:rsidRDefault="00CB45B7" w:rsidP="00813947">
            <w:pPr>
              <w:jc w:val="both"/>
            </w:pPr>
            <w:r>
              <w:t>Conscientiousness</w:t>
            </w:r>
          </w:p>
        </w:tc>
        <w:tc>
          <w:tcPr>
            <w:tcW w:w="1417" w:type="dxa"/>
          </w:tcPr>
          <w:p w14:paraId="7CE9BE43" w14:textId="77777777" w:rsidR="00CB45B7" w:rsidRPr="006B54EE" w:rsidRDefault="00CB45B7" w:rsidP="00813947">
            <w:pPr>
              <w:jc w:val="both"/>
            </w:pPr>
            <w:r>
              <w:t>.73</w:t>
            </w:r>
          </w:p>
        </w:tc>
        <w:tc>
          <w:tcPr>
            <w:tcW w:w="992" w:type="dxa"/>
          </w:tcPr>
          <w:p w14:paraId="2E350C0C" w14:textId="77777777" w:rsidR="00CB45B7" w:rsidRPr="006B54EE" w:rsidRDefault="00CB45B7" w:rsidP="00813947">
            <w:pPr>
              <w:jc w:val="both"/>
            </w:pPr>
            <w:r>
              <w:t>3.7</w:t>
            </w:r>
            <w:r w:rsidRPr="00C97349">
              <w:t>±</w:t>
            </w:r>
            <w:r>
              <w:t>0.5</w:t>
            </w:r>
          </w:p>
        </w:tc>
        <w:tc>
          <w:tcPr>
            <w:tcW w:w="993" w:type="dxa"/>
          </w:tcPr>
          <w:p w14:paraId="441BFE01" w14:textId="77777777" w:rsidR="00CB45B7" w:rsidRPr="006B54EE" w:rsidRDefault="00CB45B7" w:rsidP="00813947">
            <w:pPr>
              <w:jc w:val="both"/>
            </w:pPr>
            <w:r w:rsidRPr="00C97349">
              <w:t>3.6±0.6</w:t>
            </w:r>
          </w:p>
        </w:tc>
        <w:tc>
          <w:tcPr>
            <w:tcW w:w="992" w:type="dxa"/>
          </w:tcPr>
          <w:p w14:paraId="00EC3772" w14:textId="77777777" w:rsidR="00CB45B7" w:rsidRPr="006B54EE" w:rsidRDefault="00CB45B7" w:rsidP="00813947">
            <w:pPr>
              <w:jc w:val="both"/>
            </w:pPr>
            <w:r>
              <w:t>-1.43</w:t>
            </w:r>
          </w:p>
        </w:tc>
        <w:tc>
          <w:tcPr>
            <w:tcW w:w="992" w:type="dxa"/>
          </w:tcPr>
          <w:p w14:paraId="0117C40B" w14:textId="77777777" w:rsidR="00CB45B7" w:rsidRDefault="00CB45B7" w:rsidP="00813947">
            <w:pPr>
              <w:jc w:val="both"/>
            </w:pPr>
            <w:r>
              <w:t>173.43</w:t>
            </w:r>
          </w:p>
        </w:tc>
        <w:tc>
          <w:tcPr>
            <w:tcW w:w="1134" w:type="dxa"/>
          </w:tcPr>
          <w:p w14:paraId="07C8933F" w14:textId="77777777" w:rsidR="00CB45B7" w:rsidRDefault="00CB45B7" w:rsidP="00813947">
            <w:pPr>
              <w:jc w:val="both"/>
            </w:pPr>
            <w:r>
              <w:t>0.18</w:t>
            </w:r>
          </w:p>
        </w:tc>
        <w:tc>
          <w:tcPr>
            <w:tcW w:w="992" w:type="dxa"/>
          </w:tcPr>
          <w:p w14:paraId="34C58E2C" w14:textId="77777777" w:rsidR="00CB45B7" w:rsidRPr="006B54EE" w:rsidRDefault="00CB45B7" w:rsidP="00813947">
            <w:pPr>
              <w:jc w:val="both"/>
            </w:pPr>
            <w:r>
              <w:t>3.7</w:t>
            </w:r>
            <w:r w:rsidRPr="00C97349">
              <w:t>±</w:t>
            </w:r>
            <w:r>
              <w:t>0.6</w:t>
            </w:r>
          </w:p>
        </w:tc>
      </w:tr>
      <w:tr w:rsidR="00CB45B7" w:rsidRPr="006B54EE" w14:paraId="1675EE3F" w14:textId="77777777" w:rsidTr="00813947">
        <w:trPr>
          <w:trHeight w:val="306"/>
        </w:trPr>
        <w:tc>
          <w:tcPr>
            <w:tcW w:w="2127" w:type="dxa"/>
          </w:tcPr>
          <w:p w14:paraId="0C140879" w14:textId="77777777" w:rsidR="00CB45B7" w:rsidRPr="006B54EE" w:rsidRDefault="00CB45B7" w:rsidP="00813947">
            <w:pPr>
              <w:jc w:val="both"/>
            </w:pPr>
            <w:r w:rsidRPr="00C97349">
              <w:t>Extraversion</w:t>
            </w:r>
          </w:p>
        </w:tc>
        <w:tc>
          <w:tcPr>
            <w:tcW w:w="1417" w:type="dxa"/>
          </w:tcPr>
          <w:p w14:paraId="7795D0D6" w14:textId="77777777" w:rsidR="00CB45B7" w:rsidRPr="006B54EE" w:rsidRDefault="00CB45B7" w:rsidP="00813947">
            <w:pPr>
              <w:jc w:val="both"/>
            </w:pPr>
            <w:r>
              <w:t>.77</w:t>
            </w:r>
          </w:p>
        </w:tc>
        <w:tc>
          <w:tcPr>
            <w:tcW w:w="992" w:type="dxa"/>
          </w:tcPr>
          <w:p w14:paraId="49799B80" w14:textId="77777777" w:rsidR="00CB45B7" w:rsidRPr="006B54EE" w:rsidRDefault="00CB45B7" w:rsidP="00813947">
            <w:pPr>
              <w:jc w:val="both"/>
            </w:pPr>
            <w:r>
              <w:t>3.9</w:t>
            </w:r>
            <w:r w:rsidRPr="00C97349">
              <w:t>±</w:t>
            </w:r>
            <w:r>
              <w:t>0.7</w:t>
            </w:r>
          </w:p>
        </w:tc>
        <w:tc>
          <w:tcPr>
            <w:tcW w:w="993" w:type="dxa"/>
          </w:tcPr>
          <w:p w14:paraId="594F5DC8" w14:textId="77777777" w:rsidR="00CB45B7" w:rsidRPr="006B54EE" w:rsidRDefault="00CB45B7" w:rsidP="00813947">
            <w:pPr>
              <w:jc w:val="both"/>
            </w:pPr>
            <w:r w:rsidRPr="00C97349">
              <w:t>4.0±0.6</w:t>
            </w:r>
          </w:p>
        </w:tc>
        <w:tc>
          <w:tcPr>
            <w:tcW w:w="992" w:type="dxa"/>
          </w:tcPr>
          <w:p w14:paraId="54CDAB28" w14:textId="77777777" w:rsidR="00CB45B7" w:rsidRPr="006B54EE" w:rsidRDefault="00CB45B7" w:rsidP="00813947">
            <w:pPr>
              <w:jc w:val="both"/>
            </w:pPr>
            <w:r>
              <w:t>0.40</w:t>
            </w:r>
          </w:p>
        </w:tc>
        <w:tc>
          <w:tcPr>
            <w:tcW w:w="992" w:type="dxa"/>
          </w:tcPr>
          <w:p w14:paraId="712BEDC7" w14:textId="77777777" w:rsidR="00CB45B7" w:rsidRDefault="00CB45B7" w:rsidP="00813947">
            <w:pPr>
              <w:jc w:val="both"/>
            </w:pPr>
            <w:r>
              <w:t>182.86</w:t>
            </w:r>
          </w:p>
        </w:tc>
        <w:tc>
          <w:tcPr>
            <w:tcW w:w="1134" w:type="dxa"/>
          </w:tcPr>
          <w:p w14:paraId="3D4DD9BD" w14:textId="77777777" w:rsidR="00CB45B7" w:rsidRDefault="00CB45B7" w:rsidP="00813947">
            <w:pPr>
              <w:jc w:val="both"/>
            </w:pPr>
            <w:r>
              <w:t>0.15</w:t>
            </w:r>
          </w:p>
        </w:tc>
        <w:tc>
          <w:tcPr>
            <w:tcW w:w="992" w:type="dxa"/>
          </w:tcPr>
          <w:p w14:paraId="6EA6F79B" w14:textId="77777777" w:rsidR="00CB45B7" w:rsidRPr="006B54EE" w:rsidRDefault="00CB45B7" w:rsidP="00813947">
            <w:pPr>
              <w:jc w:val="both"/>
            </w:pPr>
            <w:r>
              <w:t>4.0</w:t>
            </w:r>
            <w:r w:rsidRPr="00C97349">
              <w:t>±</w:t>
            </w:r>
            <w:r>
              <w:t>0.6</w:t>
            </w:r>
          </w:p>
        </w:tc>
      </w:tr>
      <w:tr w:rsidR="00CB45B7" w:rsidRPr="006B54EE" w14:paraId="06470483" w14:textId="77777777" w:rsidTr="00813947">
        <w:trPr>
          <w:trHeight w:val="306"/>
        </w:trPr>
        <w:tc>
          <w:tcPr>
            <w:tcW w:w="2127" w:type="dxa"/>
          </w:tcPr>
          <w:p w14:paraId="4541A0F5" w14:textId="77777777" w:rsidR="00CB45B7" w:rsidRPr="006B54EE" w:rsidRDefault="00CB45B7" w:rsidP="00813947">
            <w:pPr>
              <w:jc w:val="both"/>
            </w:pPr>
            <w:r w:rsidRPr="00C97349">
              <w:t>Agreeableness</w:t>
            </w:r>
          </w:p>
        </w:tc>
        <w:tc>
          <w:tcPr>
            <w:tcW w:w="1417" w:type="dxa"/>
          </w:tcPr>
          <w:p w14:paraId="01C8A815" w14:textId="77777777" w:rsidR="00CB45B7" w:rsidRPr="006B54EE" w:rsidRDefault="00CB45B7" w:rsidP="00813947">
            <w:pPr>
              <w:jc w:val="both"/>
            </w:pPr>
            <w:r>
              <w:t>.76</w:t>
            </w:r>
          </w:p>
        </w:tc>
        <w:tc>
          <w:tcPr>
            <w:tcW w:w="992" w:type="dxa"/>
          </w:tcPr>
          <w:p w14:paraId="09E4CF46" w14:textId="77777777" w:rsidR="00CB45B7" w:rsidRPr="006B54EE" w:rsidRDefault="00CB45B7" w:rsidP="00813947">
            <w:pPr>
              <w:jc w:val="both"/>
            </w:pPr>
            <w:r>
              <w:t>4.6</w:t>
            </w:r>
            <w:r w:rsidRPr="00C97349">
              <w:t>±</w:t>
            </w:r>
            <w:r>
              <w:t>0.4</w:t>
            </w:r>
          </w:p>
        </w:tc>
        <w:tc>
          <w:tcPr>
            <w:tcW w:w="993" w:type="dxa"/>
          </w:tcPr>
          <w:p w14:paraId="29F07944" w14:textId="77777777" w:rsidR="00CB45B7" w:rsidRPr="006B54EE" w:rsidRDefault="00CB45B7" w:rsidP="00813947">
            <w:pPr>
              <w:jc w:val="both"/>
            </w:pPr>
            <w:r w:rsidRPr="00C97349">
              <w:t>4.3±0.5</w:t>
            </w:r>
          </w:p>
        </w:tc>
        <w:tc>
          <w:tcPr>
            <w:tcW w:w="992" w:type="dxa"/>
          </w:tcPr>
          <w:p w14:paraId="0968DF18" w14:textId="77777777" w:rsidR="00CB45B7" w:rsidRPr="006B54EE" w:rsidRDefault="00CB45B7" w:rsidP="00813947">
            <w:pPr>
              <w:jc w:val="both"/>
            </w:pPr>
            <w:r>
              <w:t>-3.86</w:t>
            </w:r>
            <w:r w:rsidRPr="00916D7D">
              <w:rPr>
                <w:vertAlign w:val="superscript"/>
              </w:rPr>
              <w:t>***</w:t>
            </w:r>
          </w:p>
        </w:tc>
        <w:tc>
          <w:tcPr>
            <w:tcW w:w="992" w:type="dxa"/>
          </w:tcPr>
          <w:p w14:paraId="17434532" w14:textId="77777777" w:rsidR="00CB45B7" w:rsidRDefault="00CB45B7" w:rsidP="00813947">
            <w:pPr>
              <w:jc w:val="both"/>
            </w:pPr>
            <w:r>
              <w:t>159.51</w:t>
            </w:r>
          </w:p>
        </w:tc>
        <w:tc>
          <w:tcPr>
            <w:tcW w:w="1134" w:type="dxa"/>
          </w:tcPr>
          <w:p w14:paraId="0AC2441B" w14:textId="77777777" w:rsidR="00CB45B7" w:rsidRDefault="00CB45B7" w:rsidP="00813947">
            <w:pPr>
              <w:jc w:val="both"/>
            </w:pPr>
            <w:r>
              <w:t>0.67</w:t>
            </w:r>
          </w:p>
        </w:tc>
        <w:tc>
          <w:tcPr>
            <w:tcW w:w="992" w:type="dxa"/>
          </w:tcPr>
          <w:p w14:paraId="59BB6CBA" w14:textId="77777777" w:rsidR="00CB45B7" w:rsidRPr="006B54EE" w:rsidRDefault="00CB45B7" w:rsidP="00813947">
            <w:pPr>
              <w:jc w:val="both"/>
            </w:pPr>
            <w:r>
              <w:t>4.4</w:t>
            </w:r>
            <w:r w:rsidRPr="00C97349">
              <w:t>±</w:t>
            </w:r>
            <w:r>
              <w:t>0.5</w:t>
            </w:r>
          </w:p>
        </w:tc>
      </w:tr>
      <w:tr w:rsidR="00CB45B7" w:rsidRPr="006B54EE" w14:paraId="5FCE75FF" w14:textId="77777777" w:rsidTr="00813947">
        <w:trPr>
          <w:trHeight w:val="288"/>
        </w:trPr>
        <w:tc>
          <w:tcPr>
            <w:tcW w:w="2127" w:type="dxa"/>
          </w:tcPr>
          <w:p w14:paraId="6D84C4CB" w14:textId="77777777" w:rsidR="00CB45B7" w:rsidRPr="006B54EE" w:rsidRDefault="00CB45B7" w:rsidP="00813947">
            <w:pPr>
              <w:jc w:val="both"/>
            </w:pPr>
            <w:r w:rsidRPr="00C97349">
              <w:t>Neuroticism</w:t>
            </w:r>
          </w:p>
        </w:tc>
        <w:tc>
          <w:tcPr>
            <w:tcW w:w="1417" w:type="dxa"/>
          </w:tcPr>
          <w:p w14:paraId="197E8A39" w14:textId="77777777" w:rsidR="00CB45B7" w:rsidRPr="006B54EE" w:rsidRDefault="00CB45B7" w:rsidP="00813947">
            <w:pPr>
              <w:jc w:val="both"/>
            </w:pPr>
            <w:r>
              <w:t>.73</w:t>
            </w:r>
          </w:p>
        </w:tc>
        <w:tc>
          <w:tcPr>
            <w:tcW w:w="992" w:type="dxa"/>
          </w:tcPr>
          <w:p w14:paraId="26896488" w14:textId="77777777" w:rsidR="00CB45B7" w:rsidRPr="006B54EE" w:rsidRDefault="00CB45B7" w:rsidP="00813947">
            <w:pPr>
              <w:jc w:val="both"/>
            </w:pPr>
            <w:r>
              <w:t>2.3</w:t>
            </w:r>
            <w:r w:rsidRPr="00C97349">
              <w:t>±</w:t>
            </w:r>
            <w:r>
              <w:t>0.6</w:t>
            </w:r>
          </w:p>
        </w:tc>
        <w:tc>
          <w:tcPr>
            <w:tcW w:w="993" w:type="dxa"/>
          </w:tcPr>
          <w:p w14:paraId="7FE2753E" w14:textId="77777777" w:rsidR="00CB45B7" w:rsidRPr="006B54EE" w:rsidRDefault="00CB45B7" w:rsidP="00813947">
            <w:pPr>
              <w:jc w:val="both"/>
            </w:pPr>
            <w:r w:rsidRPr="00C97349">
              <w:t>2.4±0.5</w:t>
            </w:r>
          </w:p>
        </w:tc>
        <w:tc>
          <w:tcPr>
            <w:tcW w:w="992" w:type="dxa"/>
          </w:tcPr>
          <w:p w14:paraId="2DB8C270" w14:textId="77777777" w:rsidR="00CB45B7" w:rsidRPr="006B54EE" w:rsidRDefault="00CB45B7" w:rsidP="00813947">
            <w:pPr>
              <w:jc w:val="both"/>
            </w:pPr>
            <w:r>
              <w:t>1.40</w:t>
            </w:r>
          </w:p>
        </w:tc>
        <w:tc>
          <w:tcPr>
            <w:tcW w:w="992" w:type="dxa"/>
          </w:tcPr>
          <w:p w14:paraId="2408005B" w14:textId="77777777" w:rsidR="00CB45B7" w:rsidRDefault="00CB45B7" w:rsidP="00813947">
            <w:pPr>
              <w:jc w:val="both"/>
            </w:pPr>
            <w:r>
              <w:t>182.96</w:t>
            </w:r>
          </w:p>
        </w:tc>
        <w:tc>
          <w:tcPr>
            <w:tcW w:w="1134" w:type="dxa"/>
          </w:tcPr>
          <w:p w14:paraId="62026957" w14:textId="77777777" w:rsidR="00CB45B7" w:rsidRDefault="00CB45B7" w:rsidP="00813947">
            <w:pPr>
              <w:jc w:val="both"/>
            </w:pPr>
            <w:r>
              <w:t>0.18</w:t>
            </w:r>
          </w:p>
        </w:tc>
        <w:tc>
          <w:tcPr>
            <w:tcW w:w="992" w:type="dxa"/>
          </w:tcPr>
          <w:p w14:paraId="119016FC" w14:textId="77777777" w:rsidR="00CB45B7" w:rsidRPr="006B54EE" w:rsidRDefault="00CB45B7" w:rsidP="00813947">
            <w:pPr>
              <w:jc w:val="both"/>
            </w:pPr>
            <w:r>
              <w:t>2.3</w:t>
            </w:r>
            <w:r w:rsidRPr="00C97349">
              <w:t>±</w:t>
            </w:r>
            <w:r>
              <w:t>0.6</w:t>
            </w:r>
          </w:p>
        </w:tc>
      </w:tr>
    </w:tbl>
    <w:p w14:paraId="0E91972C" w14:textId="77777777" w:rsidR="00CB45B7" w:rsidRDefault="00CB45B7" w:rsidP="00CB45B7">
      <w:pPr>
        <w:jc w:val="both"/>
      </w:pPr>
      <w:r>
        <w:t>Note. Degree of freedom was adjusted because Welch t-test was employed. *** &lt; .001</w:t>
      </w:r>
    </w:p>
    <w:p w14:paraId="384D3877" w14:textId="057BFEE8" w:rsidR="004D6A0B" w:rsidRDefault="004D6A0B">
      <w:r>
        <w:br w:type="page"/>
      </w:r>
    </w:p>
    <w:p w14:paraId="72E23265" w14:textId="47350F4D" w:rsidR="00CB45B7" w:rsidRDefault="00CB45B7" w:rsidP="00CB45B7">
      <w:r w:rsidRPr="002D490A">
        <w:lastRenderedPageBreak/>
        <w:t xml:space="preserve">Table S2. </w:t>
      </w:r>
      <w:r>
        <w:t>Scores of each factor in BFS-</w:t>
      </w:r>
      <w:r w:rsidRPr="006B54EE">
        <w:t>SELF</w:t>
      </w:r>
    </w:p>
    <w:tbl>
      <w:tblPr>
        <w:tblStyle w:val="a3"/>
        <w:tblW w:w="9639" w:type="dxa"/>
        <w:tblInd w:w="1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992"/>
        <w:gridCol w:w="993"/>
        <w:gridCol w:w="992"/>
        <w:gridCol w:w="992"/>
        <w:gridCol w:w="1134"/>
        <w:gridCol w:w="992"/>
      </w:tblGrid>
      <w:tr w:rsidR="00CB45B7" w:rsidRPr="006B54EE" w14:paraId="7B6B88AF" w14:textId="77777777" w:rsidTr="00813947">
        <w:tc>
          <w:tcPr>
            <w:tcW w:w="2127" w:type="dxa"/>
            <w:tcBorders>
              <w:top w:val="single" w:sz="4" w:space="0" w:color="auto"/>
              <w:bottom w:val="nil"/>
            </w:tcBorders>
          </w:tcPr>
          <w:p w14:paraId="6AB43058" w14:textId="77777777" w:rsidR="00CB45B7" w:rsidRPr="006B54EE" w:rsidRDefault="00CB45B7" w:rsidP="00813947">
            <w:pPr>
              <w:jc w:val="both"/>
            </w:pPr>
          </w:p>
        </w:tc>
        <w:tc>
          <w:tcPr>
            <w:tcW w:w="1417" w:type="dxa"/>
            <w:vMerge w:val="restart"/>
            <w:tcBorders>
              <w:top w:val="single" w:sz="4" w:space="0" w:color="auto"/>
              <w:bottom w:val="nil"/>
            </w:tcBorders>
          </w:tcPr>
          <w:p w14:paraId="1DAF904A" w14:textId="412E53F9" w:rsidR="00CB45B7" w:rsidRPr="006B54EE" w:rsidRDefault="00CB45B7" w:rsidP="00813947">
            <w:pPr>
              <w:jc w:val="both"/>
            </w:pPr>
            <w:r w:rsidRPr="00294C29">
              <w:t>Cronbach</w:t>
            </w:r>
            <w:r w:rsidR="00B5767B">
              <w:t>’</w:t>
            </w:r>
            <w:r w:rsidRPr="00294C29">
              <w:t>s alpha</w:t>
            </w:r>
          </w:p>
        </w:tc>
        <w:tc>
          <w:tcPr>
            <w:tcW w:w="992" w:type="dxa"/>
            <w:tcBorders>
              <w:top w:val="single" w:sz="4" w:space="0" w:color="auto"/>
              <w:bottom w:val="single" w:sz="4" w:space="0" w:color="auto"/>
            </w:tcBorders>
          </w:tcPr>
          <w:p w14:paraId="733F2512" w14:textId="77777777" w:rsidR="00CB45B7" w:rsidRPr="006B54EE" w:rsidRDefault="00CB45B7" w:rsidP="00813947">
            <w:pPr>
              <w:jc w:val="both"/>
            </w:pPr>
            <w:r w:rsidRPr="006B54EE">
              <w:t>Female</w:t>
            </w:r>
          </w:p>
        </w:tc>
        <w:tc>
          <w:tcPr>
            <w:tcW w:w="993" w:type="dxa"/>
            <w:tcBorders>
              <w:top w:val="single" w:sz="4" w:space="0" w:color="auto"/>
              <w:bottom w:val="single" w:sz="4" w:space="0" w:color="auto"/>
            </w:tcBorders>
          </w:tcPr>
          <w:p w14:paraId="587E1A99" w14:textId="77777777" w:rsidR="00CB45B7" w:rsidRPr="006B54EE" w:rsidRDefault="00CB45B7" w:rsidP="00813947">
            <w:pPr>
              <w:jc w:val="both"/>
            </w:pPr>
            <w:r w:rsidRPr="006B54EE">
              <w:t>Male</w:t>
            </w:r>
          </w:p>
        </w:tc>
        <w:tc>
          <w:tcPr>
            <w:tcW w:w="992" w:type="dxa"/>
            <w:tcBorders>
              <w:top w:val="single" w:sz="4" w:space="0" w:color="auto"/>
              <w:bottom w:val="nil"/>
            </w:tcBorders>
          </w:tcPr>
          <w:p w14:paraId="78CF518B" w14:textId="77777777" w:rsidR="00CB45B7" w:rsidRPr="006B54EE" w:rsidRDefault="00CB45B7" w:rsidP="00813947">
            <w:pPr>
              <w:jc w:val="both"/>
            </w:pPr>
          </w:p>
        </w:tc>
        <w:tc>
          <w:tcPr>
            <w:tcW w:w="992" w:type="dxa"/>
            <w:tcBorders>
              <w:top w:val="single" w:sz="4" w:space="0" w:color="auto"/>
              <w:bottom w:val="nil"/>
            </w:tcBorders>
          </w:tcPr>
          <w:p w14:paraId="44784C43" w14:textId="77777777" w:rsidR="00CB45B7" w:rsidRDefault="00CB45B7" w:rsidP="00813947">
            <w:pPr>
              <w:jc w:val="both"/>
            </w:pPr>
          </w:p>
        </w:tc>
        <w:tc>
          <w:tcPr>
            <w:tcW w:w="1134" w:type="dxa"/>
            <w:vMerge w:val="restart"/>
            <w:tcBorders>
              <w:top w:val="single" w:sz="4" w:space="0" w:color="auto"/>
            </w:tcBorders>
          </w:tcPr>
          <w:p w14:paraId="56128F77" w14:textId="77777777" w:rsidR="00CB45B7" w:rsidRDefault="00CB45B7" w:rsidP="00813947">
            <w:pPr>
              <w:jc w:val="both"/>
            </w:pPr>
            <w:r w:rsidRPr="00127FE4">
              <w:t>Cohen’s</w:t>
            </w:r>
            <w:r>
              <w:rPr>
                <w:i/>
              </w:rPr>
              <w:t xml:space="preserve"> </w:t>
            </w:r>
            <w:r w:rsidRPr="001B720C">
              <w:rPr>
                <w:i/>
              </w:rPr>
              <w:t>d</w:t>
            </w:r>
          </w:p>
        </w:tc>
        <w:tc>
          <w:tcPr>
            <w:tcW w:w="992" w:type="dxa"/>
            <w:tcBorders>
              <w:top w:val="single" w:sz="4" w:space="0" w:color="auto"/>
              <w:bottom w:val="nil"/>
            </w:tcBorders>
          </w:tcPr>
          <w:p w14:paraId="21169C01" w14:textId="77777777" w:rsidR="00CB45B7" w:rsidRPr="006B54EE" w:rsidRDefault="00CB45B7" w:rsidP="00813947">
            <w:pPr>
              <w:jc w:val="both"/>
            </w:pPr>
            <w:r>
              <w:t>All</w:t>
            </w:r>
          </w:p>
        </w:tc>
      </w:tr>
      <w:tr w:rsidR="00CB45B7" w:rsidRPr="006B54EE" w14:paraId="1C33B0B9" w14:textId="77777777" w:rsidTr="00813947">
        <w:trPr>
          <w:trHeight w:val="306"/>
        </w:trPr>
        <w:tc>
          <w:tcPr>
            <w:tcW w:w="2127" w:type="dxa"/>
            <w:tcBorders>
              <w:top w:val="nil"/>
              <w:bottom w:val="single" w:sz="4" w:space="0" w:color="auto"/>
            </w:tcBorders>
          </w:tcPr>
          <w:p w14:paraId="676795DC" w14:textId="77777777" w:rsidR="00CB45B7" w:rsidRPr="006B54EE" w:rsidRDefault="00CB45B7" w:rsidP="00813947">
            <w:pPr>
              <w:jc w:val="both"/>
            </w:pPr>
          </w:p>
        </w:tc>
        <w:tc>
          <w:tcPr>
            <w:tcW w:w="1417" w:type="dxa"/>
            <w:vMerge/>
            <w:tcBorders>
              <w:top w:val="nil"/>
              <w:bottom w:val="single" w:sz="4" w:space="0" w:color="auto"/>
            </w:tcBorders>
          </w:tcPr>
          <w:p w14:paraId="0BED1588" w14:textId="77777777" w:rsidR="00CB45B7" w:rsidRPr="006B54EE" w:rsidRDefault="00CB45B7" w:rsidP="00813947">
            <w:pPr>
              <w:jc w:val="both"/>
            </w:pPr>
          </w:p>
        </w:tc>
        <w:tc>
          <w:tcPr>
            <w:tcW w:w="992" w:type="dxa"/>
            <w:tcBorders>
              <w:top w:val="single" w:sz="4" w:space="0" w:color="auto"/>
              <w:bottom w:val="single" w:sz="4" w:space="0" w:color="auto"/>
            </w:tcBorders>
          </w:tcPr>
          <w:p w14:paraId="215FB882" w14:textId="77777777" w:rsidR="00CB45B7" w:rsidRPr="006B54EE" w:rsidRDefault="00CB45B7" w:rsidP="00813947">
            <w:pPr>
              <w:jc w:val="both"/>
            </w:pPr>
            <w:r w:rsidRPr="006B54EE">
              <w:t>M±SD</w:t>
            </w:r>
          </w:p>
        </w:tc>
        <w:tc>
          <w:tcPr>
            <w:tcW w:w="993" w:type="dxa"/>
            <w:tcBorders>
              <w:top w:val="single" w:sz="4" w:space="0" w:color="auto"/>
              <w:bottom w:val="single" w:sz="4" w:space="0" w:color="auto"/>
            </w:tcBorders>
          </w:tcPr>
          <w:p w14:paraId="70360C3F" w14:textId="77777777" w:rsidR="00CB45B7" w:rsidRPr="006B54EE" w:rsidRDefault="00CB45B7" w:rsidP="00813947">
            <w:pPr>
              <w:jc w:val="both"/>
            </w:pPr>
            <w:r w:rsidRPr="006B54EE">
              <w:t>M±SD</w:t>
            </w:r>
          </w:p>
        </w:tc>
        <w:tc>
          <w:tcPr>
            <w:tcW w:w="992" w:type="dxa"/>
            <w:tcBorders>
              <w:top w:val="nil"/>
              <w:bottom w:val="single" w:sz="4" w:space="0" w:color="auto"/>
            </w:tcBorders>
          </w:tcPr>
          <w:p w14:paraId="6480AF7E" w14:textId="77777777" w:rsidR="00CB45B7" w:rsidRPr="003146DB" w:rsidRDefault="00CB45B7" w:rsidP="00813947">
            <w:pPr>
              <w:jc w:val="both"/>
              <w:rPr>
                <w:i/>
              </w:rPr>
            </w:pPr>
            <w:r w:rsidRPr="003146DB">
              <w:rPr>
                <w:i/>
              </w:rPr>
              <w:t>t</w:t>
            </w:r>
          </w:p>
        </w:tc>
        <w:tc>
          <w:tcPr>
            <w:tcW w:w="992" w:type="dxa"/>
            <w:tcBorders>
              <w:top w:val="nil"/>
              <w:bottom w:val="single" w:sz="4" w:space="0" w:color="auto"/>
            </w:tcBorders>
          </w:tcPr>
          <w:p w14:paraId="37D9501D" w14:textId="77777777" w:rsidR="00CB45B7" w:rsidRPr="003146DB" w:rsidRDefault="00CB45B7" w:rsidP="00813947">
            <w:pPr>
              <w:jc w:val="both"/>
              <w:rPr>
                <w:i/>
              </w:rPr>
            </w:pPr>
            <w:r w:rsidRPr="003146DB">
              <w:rPr>
                <w:i/>
              </w:rPr>
              <w:t>df</w:t>
            </w:r>
          </w:p>
        </w:tc>
        <w:tc>
          <w:tcPr>
            <w:tcW w:w="1134" w:type="dxa"/>
            <w:vMerge/>
            <w:tcBorders>
              <w:bottom w:val="single" w:sz="4" w:space="0" w:color="auto"/>
            </w:tcBorders>
          </w:tcPr>
          <w:p w14:paraId="26E32C1F" w14:textId="77777777" w:rsidR="00CB45B7" w:rsidRPr="008E6F5E" w:rsidRDefault="00CB45B7" w:rsidP="00813947">
            <w:pPr>
              <w:jc w:val="both"/>
              <w:rPr>
                <w:i/>
              </w:rPr>
            </w:pPr>
          </w:p>
        </w:tc>
        <w:tc>
          <w:tcPr>
            <w:tcW w:w="992" w:type="dxa"/>
            <w:tcBorders>
              <w:top w:val="nil"/>
              <w:bottom w:val="single" w:sz="4" w:space="0" w:color="auto"/>
            </w:tcBorders>
          </w:tcPr>
          <w:p w14:paraId="742074F4" w14:textId="77777777" w:rsidR="00CB45B7" w:rsidRPr="006B54EE" w:rsidRDefault="00CB45B7" w:rsidP="00813947">
            <w:pPr>
              <w:jc w:val="both"/>
            </w:pPr>
            <w:r w:rsidRPr="006B54EE">
              <w:t>M±SD</w:t>
            </w:r>
          </w:p>
        </w:tc>
      </w:tr>
      <w:tr w:rsidR="00CB45B7" w:rsidRPr="006B54EE" w14:paraId="71CCF3FF" w14:textId="77777777" w:rsidTr="00813947">
        <w:trPr>
          <w:trHeight w:val="348"/>
        </w:trPr>
        <w:tc>
          <w:tcPr>
            <w:tcW w:w="2127" w:type="dxa"/>
            <w:tcBorders>
              <w:top w:val="single" w:sz="4" w:space="0" w:color="auto"/>
            </w:tcBorders>
          </w:tcPr>
          <w:p w14:paraId="060F7B42" w14:textId="77777777" w:rsidR="00CB45B7" w:rsidRPr="006B54EE" w:rsidRDefault="00CB45B7" w:rsidP="00813947">
            <w:pPr>
              <w:jc w:val="both"/>
            </w:pPr>
            <w:r w:rsidRPr="00C97349">
              <w:t>Openness</w:t>
            </w:r>
          </w:p>
        </w:tc>
        <w:tc>
          <w:tcPr>
            <w:tcW w:w="1417" w:type="dxa"/>
            <w:tcBorders>
              <w:top w:val="single" w:sz="4" w:space="0" w:color="auto"/>
            </w:tcBorders>
          </w:tcPr>
          <w:p w14:paraId="1AF8427C" w14:textId="77777777" w:rsidR="00CB45B7" w:rsidRPr="006B54EE" w:rsidRDefault="00CB45B7" w:rsidP="00813947">
            <w:pPr>
              <w:jc w:val="both"/>
            </w:pPr>
            <w:r>
              <w:t>.74</w:t>
            </w:r>
          </w:p>
        </w:tc>
        <w:tc>
          <w:tcPr>
            <w:tcW w:w="992" w:type="dxa"/>
            <w:tcBorders>
              <w:top w:val="single" w:sz="4" w:space="0" w:color="auto"/>
            </w:tcBorders>
          </w:tcPr>
          <w:p w14:paraId="411B48AB" w14:textId="77777777" w:rsidR="00CB45B7" w:rsidRPr="006B54EE" w:rsidRDefault="00CB45B7" w:rsidP="00813947">
            <w:pPr>
              <w:jc w:val="both"/>
            </w:pPr>
            <w:r>
              <w:t>3.0</w:t>
            </w:r>
            <w:r w:rsidRPr="00C97349">
              <w:t>±</w:t>
            </w:r>
            <w:r>
              <w:t>0.7</w:t>
            </w:r>
          </w:p>
        </w:tc>
        <w:tc>
          <w:tcPr>
            <w:tcW w:w="993" w:type="dxa"/>
            <w:tcBorders>
              <w:top w:val="single" w:sz="4" w:space="0" w:color="auto"/>
            </w:tcBorders>
          </w:tcPr>
          <w:p w14:paraId="4EBF95BF" w14:textId="77777777" w:rsidR="00CB45B7" w:rsidRPr="006B54EE" w:rsidRDefault="00CB45B7" w:rsidP="00813947">
            <w:pPr>
              <w:jc w:val="both"/>
            </w:pPr>
            <w:r>
              <w:t>3.1</w:t>
            </w:r>
            <w:r w:rsidRPr="006B54EE">
              <w:t>±</w:t>
            </w:r>
            <w:r>
              <w:t>0.7</w:t>
            </w:r>
          </w:p>
        </w:tc>
        <w:tc>
          <w:tcPr>
            <w:tcW w:w="992" w:type="dxa"/>
            <w:tcBorders>
              <w:top w:val="single" w:sz="4" w:space="0" w:color="auto"/>
            </w:tcBorders>
          </w:tcPr>
          <w:p w14:paraId="26E0A11F" w14:textId="77777777" w:rsidR="00CB45B7" w:rsidRPr="006B54EE" w:rsidRDefault="00CB45B7" w:rsidP="00813947">
            <w:pPr>
              <w:jc w:val="both"/>
            </w:pPr>
            <w:r>
              <w:t>0.99</w:t>
            </w:r>
          </w:p>
        </w:tc>
        <w:tc>
          <w:tcPr>
            <w:tcW w:w="992" w:type="dxa"/>
            <w:tcBorders>
              <w:top w:val="single" w:sz="4" w:space="0" w:color="auto"/>
            </w:tcBorders>
          </w:tcPr>
          <w:p w14:paraId="1291E8D9" w14:textId="77777777" w:rsidR="00CB45B7" w:rsidRDefault="00CB45B7" w:rsidP="00813947">
            <w:pPr>
              <w:jc w:val="both"/>
            </w:pPr>
            <w:r>
              <w:t>177.55</w:t>
            </w:r>
          </w:p>
        </w:tc>
        <w:tc>
          <w:tcPr>
            <w:tcW w:w="1134" w:type="dxa"/>
            <w:tcBorders>
              <w:top w:val="single" w:sz="4" w:space="0" w:color="auto"/>
            </w:tcBorders>
          </w:tcPr>
          <w:p w14:paraId="029E845C" w14:textId="77777777" w:rsidR="00CB45B7" w:rsidRDefault="00CB45B7" w:rsidP="00813947">
            <w:pPr>
              <w:jc w:val="both"/>
            </w:pPr>
            <w:r>
              <w:t>0.14</w:t>
            </w:r>
          </w:p>
        </w:tc>
        <w:tc>
          <w:tcPr>
            <w:tcW w:w="992" w:type="dxa"/>
            <w:tcBorders>
              <w:top w:val="single" w:sz="4" w:space="0" w:color="auto"/>
            </w:tcBorders>
          </w:tcPr>
          <w:p w14:paraId="16486164" w14:textId="77777777" w:rsidR="00CB45B7" w:rsidRPr="006B54EE" w:rsidRDefault="00CB45B7" w:rsidP="00813947">
            <w:pPr>
              <w:jc w:val="both"/>
            </w:pPr>
            <w:r>
              <w:t>3.0</w:t>
            </w:r>
            <w:r w:rsidRPr="00C97349">
              <w:t>±</w:t>
            </w:r>
            <w:r>
              <w:t>0.7</w:t>
            </w:r>
          </w:p>
        </w:tc>
      </w:tr>
      <w:tr w:rsidR="00CB45B7" w:rsidRPr="006B54EE" w14:paraId="0CA9EB00" w14:textId="77777777" w:rsidTr="00813947">
        <w:trPr>
          <w:trHeight w:val="342"/>
        </w:trPr>
        <w:tc>
          <w:tcPr>
            <w:tcW w:w="2127" w:type="dxa"/>
          </w:tcPr>
          <w:p w14:paraId="5EB97718" w14:textId="77777777" w:rsidR="00CB45B7" w:rsidRPr="006B54EE" w:rsidRDefault="00CB45B7" w:rsidP="00813947">
            <w:pPr>
              <w:jc w:val="both"/>
            </w:pPr>
            <w:r>
              <w:t>Conscientiousness</w:t>
            </w:r>
          </w:p>
        </w:tc>
        <w:tc>
          <w:tcPr>
            <w:tcW w:w="1417" w:type="dxa"/>
          </w:tcPr>
          <w:p w14:paraId="0C1ABE7F" w14:textId="77777777" w:rsidR="00CB45B7" w:rsidRPr="006B54EE" w:rsidRDefault="00CB45B7" w:rsidP="00813947">
            <w:pPr>
              <w:jc w:val="both"/>
            </w:pPr>
            <w:r>
              <w:t>.79</w:t>
            </w:r>
          </w:p>
        </w:tc>
        <w:tc>
          <w:tcPr>
            <w:tcW w:w="992" w:type="dxa"/>
          </w:tcPr>
          <w:p w14:paraId="790ABB64" w14:textId="77777777" w:rsidR="00CB45B7" w:rsidRPr="006B54EE" w:rsidRDefault="00CB45B7" w:rsidP="00813947">
            <w:pPr>
              <w:jc w:val="both"/>
            </w:pPr>
            <w:r>
              <w:t>2.6</w:t>
            </w:r>
            <w:r w:rsidRPr="00C97349">
              <w:t>±</w:t>
            </w:r>
            <w:r>
              <w:t>0.6</w:t>
            </w:r>
          </w:p>
        </w:tc>
        <w:tc>
          <w:tcPr>
            <w:tcW w:w="993" w:type="dxa"/>
          </w:tcPr>
          <w:p w14:paraId="2BC3E071" w14:textId="77777777" w:rsidR="00CB45B7" w:rsidRPr="006B54EE" w:rsidRDefault="00CB45B7" w:rsidP="00813947">
            <w:pPr>
              <w:jc w:val="both"/>
            </w:pPr>
            <w:r>
              <w:t>2.6</w:t>
            </w:r>
            <w:r w:rsidRPr="006B54EE">
              <w:t>±</w:t>
            </w:r>
            <w:r>
              <w:t>0.8</w:t>
            </w:r>
          </w:p>
        </w:tc>
        <w:tc>
          <w:tcPr>
            <w:tcW w:w="992" w:type="dxa"/>
          </w:tcPr>
          <w:p w14:paraId="1486254C" w14:textId="77777777" w:rsidR="00CB45B7" w:rsidRPr="006B54EE" w:rsidRDefault="00CB45B7" w:rsidP="00813947">
            <w:pPr>
              <w:jc w:val="both"/>
            </w:pPr>
            <w:r>
              <w:t>0.50</w:t>
            </w:r>
          </w:p>
        </w:tc>
        <w:tc>
          <w:tcPr>
            <w:tcW w:w="992" w:type="dxa"/>
          </w:tcPr>
          <w:p w14:paraId="79518AB4" w14:textId="77777777" w:rsidR="00CB45B7" w:rsidRDefault="00CB45B7" w:rsidP="00813947">
            <w:pPr>
              <w:jc w:val="both"/>
            </w:pPr>
            <w:r>
              <w:t>159.55</w:t>
            </w:r>
          </w:p>
        </w:tc>
        <w:tc>
          <w:tcPr>
            <w:tcW w:w="1134" w:type="dxa"/>
          </w:tcPr>
          <w:p w14:paraId="48432123" w14:textId="77777777" w:rsidR="00CB45B7" w:rsidRDefault="00CB45B7" w:rsidP="00813947">
            <w:pPr>
              <w:jc w:val="both"/>
            </w:pPr>
            <w:r>
              <w:t>0.00</w:t>
            </w:r>
          </w:p>
        </w:tc>
        <w:tc>
          <w:tcPr>
            <w:tcW w:w="992" w:type="dxa"/>
          </w:tcPr>
          <w:p w14:paraId="525B1E65" w14:textId="77777777" w:rsidR="00CB45B7" w:rsidRPr="006B54EE" w:rsidRDefault="00CB45B7" w:rsidP="00813947">
            <w:pPr>
              <w:jc w:val="both"/>
            </w:pPr>
            <w:r>
              <w:t>2.6</w:t>
            </w:r>
            <w:r w:rsidRPr="00C97349">
              <w:t>±</w:t>
            </w:r>
            <w:r>
              <w:t>0.7</w:t>
            </w:r>
          </w:p>
        </w:tc>
      </w:tr>
      <w:tr w:rsidR="00CB45B7" w:rsidRPr="006B54EE" w14:paraId="6F99731C" w14:textId="77777777" w:rsidTr="00813947">
        <w:trPr>
          <w:trHeight w:val="306"/>
        </w:trPr>
        <w:tc>
          <w:tcPr>
            <w:tcW w:w="2127" w:type="dxa"/>
          </w:tcPr>
          <w:p w14:paraId="6DA91E76" w14:textId="77777777" w:rsidR="00CB45B7" w:rsidRPr="006B54EE" w:rsidRDefault="00CB45B7" w:rsidP="00813947">
            <w:pPr>
              <w:jc w:val="both"/>
            </w:pPr>
            <w:r w:rsidRPr="00C97349">
              <w:t>Extraversion</w:t>
            </w:r>
          </w:p>
        </w:tc>
        <w:tc>
          <w:tcPr>
            <w:tcW w:w="1417" w:type="dxa"/>
          </w:tcPr>
          <w:p w14:paraId="0C028F4E" w14:textId="77777777" w:rsidR="00CB45B7" w:rsidRPr="006B54EE" w:rsidRDefault="00CB45B7" w:rsidP="00813947">
            <w:pPr>
              <w:jc w:val="both"/>
            </w:pPr>
            <w:r>
              <w:t>.87</w:t>
            </w:r>
          </w:p>
        </w:tc>
        <w:tc>
          <w:tcPr>
            <w:tcW w:w="992" w:type="dxa"/>
          </w:tcPr>
          <w:p w14:paraId="59404F51" w14:textId="77777777" w:rsidR="00CB45B7" w:rsidRPr="006B54EE" w:rsidRDefault="00CB45B7" w:rsidP="00813947">
            <w:pPr>
              <w:jc w:val="both"/>
            </w:pPr>
            <w:r>
              <w:t>3.3</w:t>
            </w:r>
            <w:r w:rsidRPr="00C97349">
              <w:t>±</w:t>
            </w:r>
            <w:r>
              <w:t>0.9</w:t>
            </w:r>
          </w:p>
        </w:tc>
        <w:tc>
          <w:tcPr>
            <w:tcW w:w="993" w:type="dxa"/>
          </w:tcPr>
          <w:p w14:paraId="132FC82C" w14:textId="77777777" w:rsidR="00CB45B7" w:rsidRPr="006B54EE" w:rsidRDefault="00CB45B7" w:rsidP="00813947">
            <w:pPr>
              <w:jc w:val="both"/>
            </w:pPr>
            <w:r w:rsidRPr="00C97349">
              <w:t>3.0±1.0</w:t>
            </w:r>
          </w:p>
        </w:tc>
        <w:tc>
          <w:tcPr>
            <w:tcW w:w="992" w:type="dxa"/>
          </w:tcPr>
          <w:p w14:paraId="2B1EE91F" w14:textId="77777777" w:rsidR="00CB45B7" w:rsidRPr="006B54EE" w:rsidRDefault="00CB45B7" w:rsidP="00813947">
            <w:pPr>
              <w:jc w:val="both"/>
            </w:pPr>
            <w:r>
              <w:t>-2.17</w:t>
            </w:r>
            <w:r w:rsidRPr="00916D7D">
              <w:rPr>
                <w:vertAlign w:val="superscript"/>
              </w:rPr>
              <w:t>*</w:t>
            </w:r>
          </w:p>
        </w:tc>
        <w:tc>
          <w:tcPr>
            <w:tcW w:w="992" w:type="dxa"/>
          </w:tcPr>
          <w:p w14:paraId="5BE21962" w14:textId="77777777" w:rsidR="00CB45B7" w:rsidRDefault="00CB45B7" w:rsidP="00813947">
            <w:pPr>
              <w:jc w:val="both"/>
            </w:pPr>
            <w:r>
              <w:t>176.76</w:t>
            </w:r>
          </w:p>
        </w:tc>
        <w:tc>
          <w:tcPr>
            <w:tcW w:w="1134" w:type="dxa"/>
          </w:tcPr>
          <w:p w14:paraId="0BF4BD9D" w14:textId="77777777" w:rsidR="00CB45B7" w:rsidRDefault="00CB45B7" w:rsidP="00813947">
            <w:pPr>
              <w:jc w:val="both"/>
            </w:pPr>
            <w:r>
              <w:t>0.32</w:t>
            </w:r>
          </w:p>
        </w:tc>
        <w:tc>
          <w:tcPr>
            <w:tcW w:w="992" w:type="dxa"/>
          </w:tcPr>
          <w:p w14:paraId="471AF0EC" w14:textId="77777777" w:rsidR="00CB45B7" w:rsidRPr="006B54EE" w:rsidRDefault="00CB45B7" w:rsidP="00813947">
            <w:pPr>
              <w:jc w:val="both"/>
            </w:pPr>
            <w:r>
              <w:t>3.2</w:t>
            </w:r>
            <w:r w:rsidRPr="00C97349">
              <w:t>±</w:t>
            </w:r>
            <w:r>
              <w:t>1.0</w:t>
            </w:r>
          </w:p>
        </w:tc>
      </w:tr>
      <w:tr w:rsidR="00CB45B7" w:rsidRPr="006B54EE" w14:paraId="2EB04106" w14:textId="77777777" w:rsidTr="00813947">
        <w:trPr>
          <w:trHeight w:val="306"/>
        </w:trPr>
        <w:tc>
          <w:tcPr>
            <w:tcW w:w="2127" w:type="dxa"/>
          </w:tcPr>
          <w:p w14:paraId="6CE1F028" w14:textId="77777777" w:rsidR="00CB45B7" w:rsidRPr="006B54EE" w:rsidRDefault="00CB45B7" w:rsidP="00813947">
            <w:pPr>
              <w:jc w:val="both"/>
            </w:pPr>
            <w:r w:rsidRPr="00C97349">
              <w:t>Agreeableness</w:t>
            </w:r>
          </w:p>
        </w:tc>
        <w:tc>
          <w:tcPr>
            <w:tcW w:w="1417" w:type="dxa"/>
          </w:tcPr>
          <w:p w14:paraId="32C71974" w14:textId="77777777" w:rsidR="00CB45B7" w:rsidRPr="006B54EE" w:rsidRDefault="00CB45B7" w:rsidP="00813947">
            <w:pPr>
              <w:jc w:val="both"/>
            </w:pPr>
            <w:r>
              <w:t>.73</w:t>
            </w:r>
          </w:p>
        </w:tc>
        <w:tc>
          <w:tcPr>
            <w:tcW w:w="992" w:type="dxa"/>
          </w:tcPr>
          <w:p w14:paraId="1B2858C6" w14:textId="77777777" w:rsidR="00CB45B7" w:rsidRPr="006B54EE" w:rsidRDefault="00CB45B7" w:rsidP="00813947">
            <w:pPr>
              <w:jc w:val="both"/>
            </w:pPr>
            <w:r>
              <w:t>3.3</w:t>
            </w:r>
            <w:r w:rsidRPr="00C97349">
              <w:t>±</w:t>
            </w:r>
            <w:r>
              <w:t>0.7</w:t>
            </w:r>
          </w:p>
        </w:tc>
        <w:tc>
          <w:tcPr>
            <w:tcW w:w="993" w:type="dxa"/>
          </w:tcPr>
          <w:p w14:paraId="75E27167" w14:textId="77777777" w:rsidR="00CB45B7" w:rsidRPr="006B54EE" w:rsidRDefault="00CB45B7" w:rsidP="00813947">
            <w:pPr>
              <w:jc w:val="both"/>
            </w:pPr>
            <w:r>
              <w:t>3.4</w:t>
            </w:r>
            <w:r w:rsidRPr="006B54EE">
              <w:t>±</w:t>
            </w:r>
            <w:r>
              <w:t>0.7</w:t>
            </w:r>
          </w:p>
        </w:tc>
        <w:tc>
          <w:tcPr>
            <w:tcW w:w="992" w:type="dxa"/>
          </w:tcPr>
          <w:p w14:paraId="0B257595" w14:textId="77777777" w:rsidR="00CB45B7" w:rsidRPr="006B54EE" w:rsidRDefault="00CB45B7" w:rsidP="00813947">
            <w:pPr>
              <w:jc w:val="both"/>
            </w:pPr>
            <w:r>
              <w:t>1.79</w:t>
            </w:r>
          </w:p>
        </w:tc>
        <w:tc>
          <w:tcPr>
            <w:tcW w:w="992" w:type="dxa"/>
          </w:tcPr>
          <w:p w14:paraId="371C7DAA" w14:textId="77777777" w:rsidR="00CB45B7" w:rsidRDefault="00CB45B7" w:rsidP="00813947">
            <w:pPr>
              <w:jc w:val="both"/>
            </w:pPr>
            <w:r>
              <w:t>179.11</w:t>
            </w:r>
          </w:p>
        </w:tc>
        <w:tc>
          <w:tcPr>
            <w:tcW w:w="1134" w:type="dxa"/>
          </w:tcPr>
          <w:p w14:paraId="5B0DC6DC" w14:textId="77777777" w:rsidR="00CB45B7" w:rsidRDefault="00CB45B7" w:rsidP="00813947">
            <w:pPr>
              <w:jc w:val="both"/>
            </w:pPr>
            <w:r>
              <w:t>0.14</w:t>
            </w:r>
          </w:p>
        </w:tc>
        <w:tc>
          <w:tcPr>
            <w:tcW w:w="992" w:type="dxa"/>
          </w:tcPr>
          <w:p w14:paraId="3A92D989" w14:textId="77777777" w:rsidR="00CB45B7" w:rsidRPr="006B54EE" w:rsidRDefault="00CB45B7" w:rsidP="00813947">
            <w:pPr>
              <w:jc w:val="both"/>
            </w:pPr>
            <w:r>
              <w:t>3.3</w:t>
            </w:r>
            <w:r w:rsidRPr="00C97349">
              <w:t>±</w:t>
            </w:r>
            <w:r>
              <w:t>0.7</w:t>
            </w:r>
          </w:p>
        </w:tc>
      </w:tr>
      <w:tr w:rsidR="00CB45B7" w:rsidRPr="006B54EE" w14:paraId="1FEDF523" w14:textId="77777777" w:rsidTr="00813947">
        <w:trPr>
          <w:trHeight w:val="288"/>
        </w:trPr>
        <w:tc>
          <w:tcPr>
            <w:tcW w:w="2127" w:type="dxa"/>
          </w:tcPr>
          <w:p w14:paraId="3ABB5E5E" w14:textId="77777777" w:rsidR="00CB45B7" w:rsidRPr="006B54EE" w:rsidRDefault="00CB45B7" w:rsidP="00813947">
            <w:pPr>
              <w:jc w:val="both"/>
            </w:pPr>
            <w:r w:rsidRPr="00C97349">
              <w:t>Neuroticism</w:t>
            </w:r>
          </w:p>
        </w:tc>
        <w:tc>
          <w:tcPr>
            <w:tcW w:w="1417" w:type="dxa"/>
          </w:tcPr>
          <w:p w14:paraId="41201829" w14:textId="77777777" w:rsidR="00CB45B7" w:rsidRPr="006B54EE" w:rsidRDefault="00CB45B7" w:rsidP="00813947">
            <w:pPr>
              <w:jc w:val="both"/>
            </w:pPr>
            <w:r>
              <w:t>.85</w:t>
            </w:r>
          </w:p>
        </w:tc>
        <w:tc>
          <w:tcPr>
            <w:tcW w:w="992" w:type="dxa"/>
          </w:tcPr>
          <w:p w14:paraId="074BB8D6" w14:textId="77777777" w:rsidR="00CB45B7" w:rsidRPr="006B54EE" w:rsidRDefault="00CB45B7" w:rsidP="00813947">
            <w:pPr>
              <w:jc w:val="both"/>
            </w:pPr>
            <w:r>
              <w:t>3.8</w:t>
            </w:r>
            <w:r w:rsidRPr="00C97349">
              <w:t>±</w:t>
            </w:r>
            <w:r>
              <w:t>0.9</w:t>
            </w:r>
          </w:p>
        </w:tc>
        <w:tc>
          <w:tcPr>
            <w:tcW w:w="993" w:type="dxa"/>
          </w:tcPr>
          <w:p w14:paraId="7EFE9858" w14:textId="77777777" w:rsidR="00CB45B7" w:rsidRPr="006B54EE" w:rsidRDefault="00CB45B7" w:rsidP="00813947">
            <w:pPr>
              <w:jc w:val="both"/>
            </w:pPr>
            <w:r>
              <w:t>3.4</w:t>
            </w:r>
            <w:r w:rsidRPr="006B54EE">
              <w:t>±</w:t>
            </w:r>
            <w:r>
              <w:t>0.9</w:t>
            </w:r>
          </w:p>
        </w:tc>
        <w:tc>
          <w:tcPr>
            <w:tcW w:w="992" w:type="dxa"/>
          </w:tcPr>
          <w:p w14:paraId="0827676D" w14:textId="77777777" w:rsidR="00CB45B7" w:rsidRPr="006B54EE" w:rsidRDefault="00CB45B7" w:rsidP="00813947">
            <w:pPr>
              <w:jc w:val="both"/>
            </w:pPr>
            <w:r>
              <w:t>-2.98</w:t>
            </w:r>
            <w:r w:rsidRPr="00916D7D">
              <w:rPr>
                <w:vertAlign w:val="superscript"/>
              </w:rPr>
              <w:t>**</w:t>
            </w:r>
          </w:p>
        </w:tc>
        <w:tc>
          <w:tcPr>
            <w:tcW w:w="992" w:type="dxa"/>
          </w:tcPr>
          <w:p w14:paraId="6AB77306" w14:textId="77777777" w:rsidR="00CB45B7" w:rsidRDefault="00CB45B7" w:rsidP="00813947">
            <w:pPr>
              <w:jc w:val="both"/>
            </w:pPr>
            <w:r>
              <w:t>178.20</w:t>
            </w:r>
          </w:p>
        </w:tc>
        <w:tc>
          <w:tcPr>
            <w:tcW w:w="1134" w:type="dxa"/>
          </w:tcPr>
          <w:p w14:paraId="1AC49063" w14:textId="77777777" w:rsidR="00CB45B7" w:rsidRDefault="00CB45B7" w:rsidP="00813947">
            <w:pPr>
              <w:jc w:val="both"/>
            </w:pPr>
            <w:r>
              <w:t>0.44</w:t>
            </w:r>
          </w:p>
        </w:tc>
        <w:tc>
          <w:tcPr>
            <w:tcW w:w="992" w:type="dxa"/>
          </w:tcPr>
          <w:p w14:paraId="01E3EC54" w14:textId="77777777" w:rsidR="00CB45B7" w:rsidRPr="006B54EE" w:rsidRDefault="00CB45B7" w:rsidP="00813947">
            <w:pPr>
              <w:jc w:val="both"/>
            </w:pPr>
            <w:r>
              <w:t>3.6</w:t>
            </w:r>
            <w:r w:rsidRPr="00C97349">
              <w:t>±</w:t>
            </w:r>
            <w:r>
              <w:t>0.9</w:t>
            </w:r>
          </w:p>
        </w:tc>
      </w:tr>
    </w:tbl>
    <w:p w14:paraId="06E1F00D" w14:textId="77777777" w:rsidR="00CB45B7" w:rsidRDefault="00CB45B7" w:rsidP="00CB45B7">
      <w:pPr>
        <w:jc w:val="both"/>
      </w:pPr>
      <w:r>
        <w:t>Note. Degree of freedom was adjusted because Welch t-test was employed. *&lt; .05, **&lt; .01</w:t>
      </w:r>
    </w:p>
    <w:p w14:paraId="603BC43C" w14:textId="77777777" w:rsidR="00CB45B7" w:rsidRDefault="00CB45B7" w:rsidP="00CB45B7">
      <w:pPr>
        <w:rPr>
          <w:b/>
          <w:bCs/>
        </w:rPr>
      </w:pPr>
    </w:p>
    <w:p w14:paraId="6FE41779" w14:textId="58C86723" w:rsidR="00CB45B7" w:rsidRPr="005231E0" w:rsidRDefault="00CB45B7" w:rsidP="00CB45B7">
      <w:r w:rsidRPr="002D490A">
        <w:t>Table S3. C</w:t>
      </w:r>
      <w:r w:rsidRPr="006B54EE">
        <w:t xml:space="preserve">orrelation between </w:t>
      </w:r>
      <w:r>
        <w:t>BFS-SELF</w:t>
      </w:r>
      <w:r w:rsidRPr="006B54EE">
        <w:t xml:space="preserve"> and </w:t>
      </w:r>
      <w:r>
        <w:t>BFS-IDEAL</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322"/>
        <w:gridCol w:w="2212"/>
        <w:gridCol w:w="2212"/>
      </w:tblGrid>
      <w:tr w:rsidR="00CB45B7" w:rsidRPr="006B54EE" w14:paraId="66F379F0" w14:textId="77777777" w:rsidTr="00813947">
        <w:tc>
          <w:tcPr>
            <w:tcW w:w="2375" w:type="dxa"/>
            <w:tcBorders>
              <w:top w:val="single" w:sz="4" w:space="0" w:color="auto"/>
              <w:bottom w:val="nil"/>
            </w:tcBorders>
          </w:tcPr>
          <w:p w14:paraId="1C656975" w14:textId="77777777" w:rsidR="00CB45B7" w:rsidRPr="006B54EE" w:rsidRDefault="00CB45B7" w:rsidP="00813947">
            <w:pPr>
              <w:jc w:val="both"/>
            </w:pPr>
          </w:p>
        </w:tc>
        <w:tc>
          <w:tcPr>
            <w:tcW w:w="2322" w:type="dxa"/>
            <w:tcBorders>
              <w:top w:val="single" w:sz="4" w:space="0" w:color="auto"/>
              <w:bottom w:val="single" w:sz="4" w:space="0" w:color="auto"/>
            </w:tcBorders>
          </w:tcPr>
          <w:p w14:paraId="798B6193" w14:textId="77777777" w:rsidR="00CB45B7" w:rsidRPr="006B54EE" w:rsidRDefault="00CB45B7" w:rsidP="00813947">
            <w:pPr>
              <w:jc w:val="both"/>
            </w:pPr>
            <w:r w:rsidRPr="006B54EE">
              <w:t>Female</w:t>
            </w:r>
          </w:p>
        </w:tc>
        <w:tc>
          <w:tcPr>
            <w:tcW w:w="2212" w:type="dxa"/>
            <w:tcBorders>
              <w:top w:val="single" w:sz="4" w:space="0" w:color="auto"/>
              <w:bottom w:val="single" w:sz="4" w:space="0" w:color="auto"/>
            </w:tcBorders>
          </w:tcPr>
          <w:p w14:paraId="732B4DD1" w14:textId="77777777" w:rsidR="00CB45B7" w:rsidRPr="006B54EE" w:rsidRDefault="00CB45B7" w:rsidP="00813947">
            <w:pPr>
              <w:jc w:val="both"/>
            </w:pPr>
            <w:r w:rsidRPr="006B54EE">
              <w:t>Male</w:t>
            </w:r>
          </w:p>
        </w:tc>
        <w:tc>
          <w:tcPr>
            <w:tcW w:w="2212" w:type="dxa"/>
            <w:tcBorders>
              <w:top w:val="single" w:sz="4" w:space="0" w:color="auto"/>
              <w:bottom w:val="single" w:sz="4" w:space="0" w:color="auto"/>
            </w:tcBorders>
          </w:tcPr>
          <w:p w14:paraId="5F555039" w14:textId="77777777" w:rsidR="00CB45B7" w:rsidRPr="006B54EE" w:rsidRDefault="00CB45B7" w:rsidP="00813947">
            <w:pPr>
              <w:jc w:val="both"/>
            </w:pPr>
            <w:r w:rsidRPr="006B54EE">
              <w:t>All</w:t>
            </w:r>
          </w:p>
        </w:tc>
      </w:tr>
      <w:tr w:rsidR="00CB45B7" w:rsidRPr="006B54EE" w14:paraId="16407BE1" w14:textId="77777777" w:rsidTr="00813947">
        <w:trPr>
          <w:trHeight w:val="331"/>
        </w:trPr>
        <w:tc>
          <w:tcPr>
            <w:tcW w:w="2375" w:type="dxa"/>
            <w:tcBorders>
              <w:top w:val="single" w:sz="4" w:space="0" w:color="auto"/>
            </w:tcBorders>
          </w:tcPr>
          <w:p w14:paraId="2599E739" w14:textId="77777777" w:rsidR="00CB45B7" w:rsidRPr="006B54EE" w:rsidRDefault="00CB45B7" w:rsidP="00813947">
            <w:pPr>
              <w:jc w:val="both"/>
            </w:pPr>
            <w:r>
              <w:t>Openness</w:t>
            </w:r>
          </w:p>
        </w:tc>
        <w:tc>
          <w:tcPr>
            <w:tcW w:w="2322" w:type="dxa"/>
            <w:tcBorders>
              <w:top w:val="single" w:sz="4" w:space="0" w:color="auto"/>
            </w:tcBorders>
          </w:tcPr>
          <w:p w14:paraId="1C4832ED" w14:textId="77777777" w:rsidR="00CB45B7" w:rsidRPr="006B54EE" w:rsidRDefault="00CB45B7" w:rsidP="00813947">
            <w:pPr>
              <w:jc w:val="both"/>
            </w:pPr>
            <w:r>
              <w:t>0.37</w:t>
            </w:r>
            <w:r w:rsidRPr="00916D7D">
              <w:rPr>
                <w:vertAlign w:val="superscript"/>
              </w:rPr>
              <w:t>***</w:t>
            </w:r>
          </w:p>
        </w:tc>
        <w:tc>
          <w:tcPr>
            <w:tcW w:w="2212" w:type="dxa"/>
            <w:tcBorders>
              <w:top w:val="single" w:sz="4" w:space="0" w:color="auto"/>
            </w:tcBorders>
          </w:tcPr>
          <w:p w14:paraId="18D670F0" w14:textId="77777777" w:rsidR="00CB45B7" w:rsidRPr="006B54EE" w:rsidRDefault="00CB45B7" w:rsidP="00813947">
            <w:pPr>
              <w:jc w:val="both"/>
            </w:pPr>
            <w:r>
              <w:t>0.43</w:t>
            </w:r>
            <w:r w:rsidRPr="00916D7D">
              <w:rPr>
                <w:vertAlign w:val="superscript"/>
              </w:rPr>
              <w:t>***</w:t>
            </w:r>
          </w:p>
        </w:tc>
        <w:tc>
          <w:tcPr>
            <w:tcW w:w="2212" w:type="dxa"/>
            <w:tcBorders>
              <w:top w:val="single" w:sz="4" w:space="0" w:color="auto"/>
            </w:tcBorders>
          </w:tcPr>
          <w:p w14:paraId="75B75B8F" w14:textId="77777777" w:rsidR="00CB45B7" w:rsidRPr="006B54EE" w:rsidRDefault="00CB45B7" w:rsidP="00813947">
            <w:pPr>
              <w:jc w:val="both"/>
            </w:pPr>
            <w:r>
              <w:t>0.39</w:t>
            </w:r>
            <w:r w:rsidRPr="00916D7D">
              <w:rPr>
                <w:vertAlign w:val="superscript"/>
              </w:rPr>
              <w:t>***</w:t>
            </w:r>
          </w:p>
        </w:tc>
      </w:tr>
      <w:tr w:rsidR="00CB45B7" w:rsidRPr="006B54EE" w14:paraId="08F1B371" w14:textId="77777777" w:rsidTr="00813947">
        <w:trPr>
          <w:trHeight w:val="348"/>
        </w:trPr>
        <w:tc>
          <w:tcPr>
            <w:tcW w:w="2375" w:type="dxa"/>
          </w:tcPr>
          <w:p w14:paraId="42DD3530" w14:textId="77777777" w:rsidR="00CB45B7" w:rsidRPr="006B54EE" w:rsidRDefault="00CB45B7" w:rsidP="00813947">
            <w:pPr>
              <w:jc w:val="both"/>
            </w:pPr>
            <w:r>
              <w:t>Conscientiousness</w:t>
            </w:r>
          </w:p>
        </w:tc>
        <w:tc>
          <w:tcPr>
            <w:tcW w:w="2322" w:type="dxa"/>
          </w:tcPr>
          <w:p w14:paraId="3B4E5318" w14:textId="77777777" w:rsidR="00CB45B7" w:rsidRPr="006B54EE" w:rsidRDefault="00CB45B7" w:rsidP="00813947">
            <w:pPr>
              <w:jc w:val="both"/>
            </w:pPr>
            <w:r>
              <w:t>0.33</w:t>
            </w:r>
            <w:r w:rsidRPr="00916D7D">
              <w:rPr>
                <w:vertAlign w:val="superscript"/>
              </w:rPr>
              <w:t>***</w:t>
            </w:r>
          </w:p>
        </w:tc>
        <w:tc>
          <w:tcPr>
            <w:tcW w:w="2212" w:type="dxa"/>
          </w:tcPr>
          <w:p w14:paraId="46D6A5B2" w14:textId="77777777" w:rsidR="00CB45B7" w:rsidRPr="006B54EE" w:rsidRDefault="00CB45B7" w:rsidP="00813947">
            <w:pPr>
              <w:jc w:val="both"/>
            </w:pPr>
            <w:r>
              <w:t>0.36</w:t>
            </w:r>
            <w:r w:rsidRPr="00916D7D">
              <w:rPr>
                <w:vertAlign w:val="superscript"/>
              </w:rPr>
              <w:t>***</w:t>
            </w:r>
          </w:p>
        </w:tc>
        <w:tc>
          <w:tcPr>
            <w:tcW w:w="2212" w:type="dxa"/>
          </w:tcPr>
          <w:p w14:paraId="339F7FAC" w14:textId="77777777" w:rsidR="00CB45B7" w:rsidRPr="006B54EE" w:rsidRDefault="00CB45B7" w:rsidP="00813947">
            <w:pPr>
              <w:jc w:val="both"/>
            </w:pPr>
            <w:r>
              <w:t>0.34</w:t>
            </w:r>
            <w:r w:rsidRPr="00916D7D">
              <w:rPr>
                <w:vertAlign w:val="superscript"/>
              </w:rPr>
              <w:t>***</w:t>
            </w:r>
          </w:p>
        </w:tc>
      </w:tr>
      <w:tr w:rsidR="00CB45B7" w:rsidRPr="006B54EE" w14:paraId="115954AF" w14:textId="77777777" w:rsidTr="00813947">
        <w:trPr>
          <w:trHeight w:val="348"/>
        </w:trPr>
        <w:tc>
          <w:tcPr>
            <w:tcW w:w="2375" w:type="dxa"/>
          </w:tcPr>
          <w:p w14:paraId="3B7DB43E" w14:textId="77777777" w:rsidR="00CB45B7" w:rsidRPr="006B54EE" w:rsidRDefault="00CB45B7" w:rsidP="00813947">
            <w:pPr>
              <w:jc w:val="both"/>
            </w:pPr>
            <w:r>
              <w:t>Extraversion</w:t>
            </w:r>
          </w:p>
        </w:tc>
        <w:tc>
          <w:tcPr>
            <w:tcW w:w="2322" w:type="dxa"/>
          </w:tcPr>
          <w:p w14:paraId="60787F38" w14:textId="77777777" w:rsidR="00CB45B7" w:rsidRPr="006B54EE" w:rsidRDefault="00CB45B7" w:rsidP="00813947">
            <w:pPr>
              <w:jc w:val="both"/>
            </w:pPr>
            <w:r>
              <w:t>0.51</w:t>
            </w:r>
            <w:r w:rsidRPr="00916D7D">
              <w:rPr>
                <w:vertAlign w:val="superscript"/>
              </w:rPr>
              <w:t>***</w:t>
            </w:r>
          </w:p>
        </w:tc>
        <w:tc>
          <w:tcPr>
            <w:tcW w:w="2212" w:type="dxa"/>
          </w:tcPr>
          <w:p w14:paraId="09B5793D" w14:textId="77777777" w:rsidR="00CB45B7" w:rsidRPr="006B54EE" w:rsidRDefault="00CB45B7" w:rsidP="00813947">
            <w:pPr>
              <w:jc w:val="both"/>
            </w:pPr>
            <w:r>
              <w:t>0.46</w:t>
            </w:r>
            <w:r w:rsidRPr="00916D7D">
              <w:rPr>
                <w:vertAlign w:val="superscript"/>
              </w:rPr>
              <w:t>***</w:t>
            </w:r>
          </w:p>
        </w:tc>
        <w:tc>
          <w:tcPr>
            <w:tcW w:w="2212" w:type="dxa"/>
          </w:tcPr>
          <w:p w14:paraId="11F8D03C" w14:textId="77777777" w:rsidR="00CB45B7" w:rsidRPr="006B54EE" w:rsidRDefault="00CB45B7" w:rsidP="00813947">
            <w:pPr>
              <w:jc w:val="both"/>
            </w:pPr>
            <w:r>
              <w:t>0.48</w:t>
            </w:r>
            <w:r w:rsidRPr="00916D7D">
              <w:rPr>
                <w:vertAlign w:val="superscript"/>
              </w:rPr>
              <w:t>***</w:t>
            </w:r>
          </w:p>
        </w:tc>
      </w:tr>
      <w:tr w:rsidR="00CB45B7" w:rsidRPr="006B54EE" w14:paraId="5BF95B72" w14:textId="77777777" w:rsidTr="00813947">
        <w:trPr>
          <w:trHeight w:val="348"/>
        </w:trPr>
        <w:tc>
          <w:tcPr>
            <w:tcW w:w="2375" w:type="dxa"/>
          </w:tcPr>
          <w:p w14:paraId="2B126A9C" w14:textId="77777777" w:rsidR="00CB45B7" w:rsidRPr="006B54EE" w:rsidRDefault="00CB45B7" w:rsidP="00813947">
            <w:pPr>
              <w:jc w:val="both"/>
            </w:pPr>
            <w:r>
              <w:t>Agreeableness</w:t>
            </w:r>
          </w:p>
        </w:tc>
        <w:tc>
          <w:tcPr>
            <w:tcW w:w="2322" w:type="dxa"/>
          </w:tcPr>
          <w:p w14:paraId="7C909C83" w14:textId="77777777" w:rsidR="00CB45B7" w:rsidRPr="006B54EE" w:rsidRDefault="00CB45B7" w:rsidP="00813947">
            <w:pPr>
              <w:jc w:val="both"/>
            </w:pPr>
            <w:r>
              <w:t>0.17</w:t>
            </w:r>
          </w:p>
        </w:tc>
        <w:tc>
          <w:tcPr>
            <w:tcW w:w="2212" w:type="dxa"/>
          </w:tcPr>
          <w:p w14:paraId="52D1567C" w14:textId="77777777" w:rsidR="00CB45B7" w:rsidRPr="006B54EE" w:rsidRDefault="00CB45B7" w:rsidP="00813947">
            <w:pPr>
              <w:jc w:val="both"/>
            </w:pPr>
            <w:r>
              <w:t>0.30</w:t>
            </w:r>
            <w:r w:rsidRPr="00916D7D">
              <w:rPr>
                <w:vertAlign w:val="superscript"/>
              </w:rPr>
              <w:t>**</w:t>
            </w:r>
          </w:p>
        </w:tc>
        <w:tc>
          <w:tcPr>
            <w:tcW w:w="2212" w:type="dxa"/>
          </w:tcPr>
          <w:p w14:paraId="43EFA77E" w14:textId="77777777" w:rsidR="00CB45B7" w:rsidRPr="006B54EE" w:rsidRDefault="00CB45B7" w:rsidP="00813947">
            <w:pPr>
              <w:jc w:val="both"/>
            </w:pPr>
            <w:r>
              <w:t>0.18</w:t>
            </w:r>
            <w:r w:rsidRPr="00916D7D">
              <w:rPr>
                <w:vertAlign w:val="superscript"/>
              </w:rPr>
              <w:t>*</w:t>
            </w:r>
          </w:p>
        </w:tc>
      </w:tr>
      <w:tr w:rsidR="00CB45B7" w:rsidRPr="006B54EE" w14:paraId="22CC4F72" w14:textId="77777777" w:rsidTr="00813947">
        <w:trPr>
          <w:trHeight w:val="329"/>
        </w:trPr>
        <w:tc>
          <w:tcPr>
            <w:tcW w:w="2375" w:type="dxa"/>
          </w:tcPr>
          <w:p w14:paraId="083619FB" w14:textId="77777777" w:rsidR="00CB45B7" w:rsidRPr="006B54EE" w:rsidRDefault="00CB45B7" w:rsidP="00813947">
            <w:pPr>
              <w:jc w:val="both"/>
            </w:pPr>
            <w:r>
              <w:t>Neuroticism</w:t>
            </w:r>
          </w:p>
        </w:tc>
        <w:tc>
          <w:tcPr>
            <w:tcW w:w="2322" w:type="dxa"/>
          </w:tcPr>
          <w:p w14:paraId="1E8F6570" w14:textId="77777777" w:rsidR="00CB45B7" w:rsidRPr="006B54EE" w:rsidRDefault="00CB45B7" w:rsidP="00813947">
            <w:pPr>
              <w:jc w:val="both"/>
            </w:pPr>
            <w:r>
              <w:t>0.23</w:t>
            </w:r>
            <w:r w:rsidRPr="00916D7D">
              <w:rPr>
                <w:vertAlign w:val="superscript"/>
              </w:rPr>
              <w:t>*</w:t>
            </w:r>
          </w:p>
        </w:tc>
        <w:tc>
          <w:tcPr>
            <w:tcW w:w="2212" w:type="dxa"/>
          </w:tcPr>
          <w:p w14:paraId="7E333673" w14:textId="77777777" w:rsidR="00CB45B7" w:rsidRPr="006B54EE" w:rsidRDefault="00CB45B7" w:rsidP="00813947">
            <w:pPr>
              <w:jc w:val="both"/>
            </w:pPr>
            <w:r>
              <w:t>0.03</w:t>
            </w:r>
          </w:p>
        </w:tc>
        <w:tc>
          <w:tcPr>
            <w:tcW w:w="2212" w:type="dxa"/>
          </w:tcPr>
          <w:p w14:paraId="0DBCE5E6" w14:textId="77777777" w:rsidR="00CB45B7" w:rsidRPr="006B54EE" w:rsidRDefault="00CB45B7" w:rsidP="00813947">
            <w:pPr>
              <w:jc w:val="both"/>
            </w:pPr>
            <w:r>
              <w:t>0.12</w:t>
            </w:r>
          </w:p>
        </w:tc>
      </w:tr>
    </w:tbl>
    <w:p w14:paraId="1310864F" w14:textId="77777777" w:rsidR="00CB45B7" w:rsidRDefault="00CB45B7" w:rsidP="00CB45B7">
      <w:pPr>
        <w:jc w:val="both"/>
      </w:pPr>
      <w:r>
        <w:t>* &lt; .05, ** &lt; .01, *** &lt; .001</w:t>
      </w:r>
    </w:p>
    <w:p w14:paraId="3C94A5B1" w14:textId="77777777" w:rsidR="00CB45B7" w:rsidRDefault="00CB45B7" w:rsidP="00CB45B7"/>
    <w:p w14:paraId="2DA5533D" w14:textId="1E92A184" w:rsidR="00CB45B7" w:rsidRDefault="00CB45B7" w:rsidP="00CB45B7">
      <w:r w:rsidRPr="002D490A">
        <w:t xml:space="preserve">Table S4. </w:t>
      </w:r>
      <w:r w:rsidRPr="006A56B2">
        <w:t>Mean differences between self and ideal romantic partner on each</w:t>
      </w:r>
      <w:r>
        <w:t xml:space="preserve"> personality</w:t>
      </w:r>
      <w:r w:rsidRPr="006A56B2">
        <w:t xml:space="preserve"> factor</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556"/>
        <w:gridCol w:w="1557"/>
        <w:gridCol w:w="1043"/>
        <w:gridCol w:w="1018"/>
        <w:gridCol w:w="1016"/>
        <w:gridCol w:w="1452"/>
      </w:tblGrid>
      <w:tr w:rsidR="00CB45B7" w:rsidRPr="006B54EE" w14:paraId="5B264E67" w14:textId="77777777" w:rsidTr="00813947">
        <w:tc>
          <w:tcPr>
            <w:tcW w:w="1832" w:type="dxa"/>
            <w:tcBorders>
              <w:top w:val="single" w:sz="4" w:space="0" w:color="auto"/>
              <w:bottom w:val="nil"/>
            </w:tcBorders>
          </w:tcPr>
          <w:p w14:paraId="3A772021" w14:textId="77777777" w:rsidR="00CB45B7" w:rsidRPr="006B54EE" w:rsidRDefault="00CB45B7" w:rsidP="00813947">
            <w:pPr>
              <w:jc w:val="both"/>
            </w:pPr>
          </w:p>
        </w:tc>
        <w:tc>
          <w:tcPr>
            <w:tcW w:w="1650" w:type="dxa"/>
            <w:tcBorders>
              <w:top w:val="single" w:sz="4" w:space="0" w:color="auto"/>
              <w:bottom w:val="single" w:sz="4" w:space="0" w:color="auto"/>
            </w:tcBorders>
          </w:tcPr>
          <w:p w14:paraId="07186B15" w14:textId="77777777" w:rsidR="00CB45B7" w:rsidRPr="006B54EE" w:rsidRDefault="00CB45B7" w:rsidP="00813947">
            <w:pPr>
              <w:jc w:val="both"/>
            </w:pPr>
            <w:r w:rsidRPr="006B54EE">
              <w:t>Female</w:t>
            </w:r>
          </w:p>
        </w:tc>
        <w:tc>
          <w:tcPr>
            <w:tcW w:w="1651" w:type="dxa"/>
            <w:tcBorders>
              <w:top w:val="single" w:sz="4" w:space="0" w:color="auto"/>
              <w:bottom w:val="single" w:sz="4" w:space="0" w:color="auto"/>
            </w:tcBorders>
          </w:tcPr>
          <w:p w14:paraId="4ED0B6FB" w14:textId="77777777" w:rsidR="00CB45B7" w:rsidRPr="006B54EE" w:rsidRDefault="00CB45B7" w:rsidP="00813947">
            <w:pPr>
              <w:jc w:val="both"/>
            </w:pPr>
            <w:r w:rsidRPr="006B54EE">
              <w:t>Male</w:t>
            </w:r>
            <w:r>
              <w:t xml:space="preserve"> </w:t>
            </w:r>
          </w:p>
        </w:tc>
        <w:tc>
          <w:tcPr>
            <w:tcW w:w="1165" w:type="dxa"/>
            <w:tcBorders>
              <w:top w:val="single" w:sz="4" w:space="0" w:color="auto"/>
              <w:bottom w:val="nil"/>
            </w:tcBorders>
          </w:tcPr>
          <w:p w14:paraId="3808976C" w14:textId="77777777" w:rsidR="00CB45B7" w:rsidRPr="006B54EE" w:rsidRDefault="00CB45B7" w:rsidP="00813947">
            <w:pPr>
              <w:jc w:val="both"/>
            </w:pPr>
          </w:p>
        </w:tc>
        <w:tc>
          <w:tcPr>
            <w:tcW w:w="1123" w:type="dxa"/>
            <w:tcBorders>
              <w:top w:val="single" w:sz="4" w:space="0" w:color="auto"/>
              <w:bottom w:val="nil"/>
            </w:tcBorders>
          </w:tcPr>
          <w:p w14:paraId="3CA5D4B7" w14:textId="77777777" w:rsidR="00CB45B7" w:rsidRPr="006B54EE" w:rsidRDefault="00CB45B7" w:rsidP="00813947">
            <w:pPr>
              <w:jc w:val="both"/>
            </w:pPr>
          </w:p>
        </w:tc>
        <w:tc>
          <w:tcPr>
            <w:tcW w:w="957" w:type="dxa"/>
            <w:vMerge w:val="restart"/>
            <w:tcBorders>
              <w:top w:val="single" w:sz="4" w:space="0" w:color="auto"/>
            </w:tcBorders>
            <w:vAlign w:val="bottom"/>
          </w:tcPr>
          <w:p w14:paraId="40DE3916" w14:textId="77777777" w:rsidR="00CB45B7" w:rsidRDefault="00CB45B7" w:rsidP="00813947">
            <w:pPr>
              <w:jc w:val="both"/>
            </w:pPr>
            <w:r w:rsidRPr="00127FE4">
              <w:t>Cohen’s</w:t>
            </w:r>
            <w:r>
              <w:rPr>
                <w:i/>
              </w:rPr>
              <w:t xml:space="preserve"> </w:t>
            </w:r>
            <w:r w:rsidRPr="001B720C">
              <w:rPr>
                <w:i/>
              </w:rPr>
              <w:t>d</w:t>
            </w:r>
          </w:p>
        </w:tc>
        <w:tc>
          <w:tcPr>
            <w:tcW w:w="1470" w:type="dxa"/>
            <w:tcBorders>
              <w:top w:val="single" w:sz="4" w:space="0" w:color="auto"/>
              <w:bottom w:val="nil"/>
            </w:tcBorders>
          </w:tcPr>
          <w:p w14:paraId="2840DB35" w14:textId="77777777" w:rsidR="00CB45B7" w:rsidRPr="006B54EE" w:rsidRDefault="00CB45B7" w:rsidP="00813947">
            <w:pPr>
              <w:jc w:val="both"/>
            </w:pPr>
            <w:r>
              <w:t>All</w:t>
            </w:r>
          </w:p>
        </w:tc>
      </w:tr>
      <w:tr w:rsidR="00CB45B7" w:rsidRPr="006B54EE" w14:paraId="707C5F26" w14:textId="77777777" w:rsidTr="00813947">
        <w:tc>
          <w:tcPr>
            <w:tcW w:w="1832" w:type="dxa"/>
            <w:tcBorders>
              <w:top w:val="nil"/>
              <w:bottom w:val="single" w:sz="4" w:space="0" w:color="auto"/>
            </w:tcBorders>
          </w:tcPr>
          <w:p w14:paraId="679AB090" w14:textId="77777777" w:rsidR="00CB45B7" w:rsidRPr="006B54EE" w:rsidRDefault="00CB45B7" w:rsidP="00813947">
            <w:pPr>
              <w:jc w:val="both"/>
            </w:pPr>
          </w:p>
        </w:tc>
        <w:tc>
          <w:tcPr>
            <w:tcW w:w="1650" w:type="dxa"/>
            <w:tcBorders>
              <w:top w:val="single" w:sz="4" w:space="0" w:color="auto"/>
              <w:bottom w:val="single" w:sz="4" w:space="0" w:color="auto"/>
            </w:tcBorders>
          </w:tcPr>
          <w:p w14:paraId="34747AC6" w14:textId="77777777" w:rsidR="00CB45B7" w:rsidRPr="006B54EE" w:rsidRDefault="00CB45B7" w:rsidP="00813947">
            <w:pPr>
              <w:jc w:val="both"/>
            </w:pPr>
            <w:r w:rsidRPr="006B54EE">
              <w:t>M±SD</w:t>
            </w:r>
          </w:p>
        </w:tc>
        <w:tc>
          <w:tcPr>
            <w:tcW w:w="1651" w:type="dxa"/>
            <w:tcBorders>
              <w:top w:val="single" w:sz="4" w:space="0" w:color="auto"/>
              <w:bottom w:val="single" w:sz="4" w:space="0" w:color="auto"/>
            </w:tcBorders>
          </w:tcPr>
          <w:p w14:paraId="7396DE6F" w14:textId="77777777" w:rsidR="00CB45B7" w:rsidRPr="006B54EE" w:rsidRDefault="00CB45B7" w:rsidP="00813947">
            <w:pPr>
              <w:jc w:val="both"/>
            </w:pPr>
            <w:r w:rsidRPr="006B54EE">
              <w:t>M±SD</w:t>
            </w:r>
          </w:p>
        </w:tc>
        <w:tc>
          <w:tcPr>
            <w:tcW w:w="1165" w:type="dxa"/>
            <w:tcBorders>
              <w:top w:val="nil"/>
              <w:bottom w:val="single" w:sz="4" w:space="0" w:color="auto"/>
            </w:tcBorders>
          </w:tcPr>
          <w:p w14:paraId="7DE046BA" w14:textId="77777777" w:rsidR="00CB45B7" w:rsidRPr="003146DB" w:rsidRDefault="00CB45B7" w:rsidP="00813947">
            <w:pPr>
              <w:jc w:val="both"/>
              <w:rPr>
                <w:i/>
              </w:rPr>
            </w:pPr>
            <w:r w:rsidRPr="003146DB">
              <w:rPr>
                <w:i/>
              </w:rPr>
              <w:t>t</w:t>
            </w:r>
          </w:p>
        </w:tc>
        <w:tc>
          <w:tcPr>
            <w:tcW w:w="1123" w:type="dxa"/>
            <w:tcBorders>
              <w:top w:val="nil"/>
              <w:bottom w:val="single" w:sz="4" w:space="0" w:color="auto"/>
            </w:tcBorders>
          </w:tcPr>
          <w:p w14:paraId="200637E5" w14:textId="77777777" w:rsidR="00CB45B7" w:rsidRPr="003146DB" w:rsidRDefault="00CB45B7" w:rsidP="00813947">
            <w:pPr>
              <w:jc w:val="both"/>
              <w:rPr>
                <w:i/>
              </w:rPr>
            </w:pPr>
            <w:r w:rsidRPr="003146DB">
              <w:rPr>
                <w:rFonts w:hint="eastAsia"/>
                <w:i/>
              </w:rPr>
              <w:t>df</w:t>
            </w:r>
          </w:p>
        </w:tc>
        <w:tc>
          <w:tcPr>
            <w:tcW w:w="957" w:type="dxa"/>
            <w:vMerge/>
            <w:tcBorders>
              <w:bottom w:val="single" w:sz="4" w:space="0" w:color="auto"/>
            </w:tcBorders>
          </w:tcPr>
          <w:p w14:paraId="299B1C71" w14:textId="77777777" w:rsidR="00CB45B7" w:rsidRPr="00AB0D45" w:rsidRDefault="00CB45B7" w:rsidP="00813947">
            <w:pPr>
              <w:jc w:val="both"/>
              <w:rPr>
                <w:i/>
              </w:rPr>
            </w:pPr>
          </w:p>
        </w:tc>
        <w:tc>
          <w:tcPr>
            <w:tcW w:w="1470" w:type="dxa"/>
            <w:tcBorders>
              <w:top w:val="nil"/>
              <w:bottom w:val="single" w:sz="4" w:space="0" w:color="auto"/>
            </w:tcBorders>
          </w:tcPr>
          <w:p w14:paraId="3E9EE322" w14:textId="77777777" w:rsidR="00CB45B7" w:rsidRPr="006B54EE" w:rsidRDefault="00CB45B7" w:rsidP="00813947">
            <w:pPr>
              <w:jc w:val="both"/>
            </w:pPr>
            <w:r w:rsidRPr="006B54EE">
              <w:t>M±SD</w:t>
            </w:r>
          </w:p>
        </w:tc>
      </w:tr>
      <w:tr w:rsidR="00CB45B7" w:rsidRPr="006B54EE" w14:paraId="62A8A93E" w14:textId="77777777" w:rsidTr="00813947">
        <w:tc>
          <w:tcPr>
            <w:tcW w:w="1832" w:type="dxa"/>
            <w:tcBorders>
              <w:top w:val="single" w:sz="4" w:space="0" w:color="auto"/>
            </w:tcBorders>
          </w:tcPr>
          <w:p w14:paraId="6E5B1FCD" w14:textId="77777777" w:rsidR="00CB45B7" w:rsidRPr="006B54EE" w:rsidRDefault="00CB45B7" w:rsidP="00813947">
            <w:pPr>
              <w:jc w:val="both"/>
            </w:pPr>
            <w:r>
              <w:t>Openness</w:t>
            </w:r>
          </w:p>
        </w:tc>
        <w:tc>
          <w:tcPr>
            <w:tcW w:w="1650" w:type="dxa"/>
            <w:tcBorders>
              <w:top w:val="single" w:sz="4" w:space="0" w:color="auto"/>
            </w:tcBorders>
          </w:tcPr>
          <w:p w14:paraId="38DFE400" w14:textId="77777777" w:rsidR="00CB45B7" w:rsidRPr="00916D7D" w:rsidRDefault="00CB45B7" w:rsidP="00813947">
            <w:pPr>
              <w:jc w:val="both"/>
            </w:pPr>
            <w:r>
              <w:t>0.74</w:t>
            </w:r>
            <w:r w:rsidRPr="00C97349">
              <w:t>±</w:t>
            </w:r>
            <w:r>
              <w:t>0.68</w:t>
            </w:r>
            <w:r w:rsidRPr="00916D7D">
              <w:rPr>
                <w:vertAlign w:val="superscript"/>
              </w:rPr>
              <w:t>***</w:t>
            </w:r>
          </w:p>
        </w:tc>
        <w:tc>
          <w:tcPr>
            <w:tcW w:w="1651" w:type="dxa"/>
            <w:tcBorders>
              <w:top w:val="single" w:sz="4" w:space="0" w:color="auto"/>
            </w:tcBorders>
          </w:tcPr>
          <w:p w14:paraId="003A9677" w14:textId="77777777" w:rsidR="00CB45B7" w:rsidRPr="00916D7D" w:rsidRDefault="00CB45B7" w:rsidP="00813947">
            <w:pPr>
              <w:jc w:val="both"/>
            </w:pPr>
            <w:r>
              <w:t>0.62</w:t>
            </w:r>
            <w:r w:rsidRPr="006B54EE">
              <w:t>±</w:t>
            </w:r>
            <w:r>
              <w:t>0.66</w:t>
            </w:r>
            <w:r w:rsidRPr="00916D7D">
              <w:rPr>
                <w:vertAlign w:val="superscript"/>
              </w:rPr>
              <w:t>***</w:t>
            </w:r>
          </w:p>
        </w:tc>
        <w:tc>
          <w:tcPr>
            <w:tcW w:w="1165" w:type="dxa"/>
            <w:tcBorders>
              <w:top w:val="single" w:sz="4" w:space="0" w:color="auto"/>
            </w:tcBorders>
          </w:tcPr>
          <w:p w14:paraId="62AB0B20" w14:textId="77777777" w:rsidR="00CB45B7" w:rsidRPr="00916D7D" w:rsidRDefault="00CB45B7" w:rsidP="00813947">
            <w:pPr>
              <w:jc w:val="both"/>
            </w:pPr>
            <w:r>
              <w:t>-1.25</w:t>
            </w:r>
          </w:p>
        </w:tc>
        <w:tc>
          <w:tcPr>
            <w:tcW w:w="1123" w:type="dxa"/>
            <w:tcBorders>
              <w:top w:val="single" w:sz="4" w:space="0" w:color="auto"/>
            </w:tcBorders>
          </w:tcPr>
          <w:p w14:paraId="56D6B7CC" w14:textId="77777777" w:rsidR="00CB45B7" w:rsidRPr="00916D7D" w:rsidRDefault="00CB45B7" w:rsidP="00813947">
            <w:pPr>
              <w:jc w:val="both"/>
            </w:pPr>
            <w:r>
              <w:t>179.33</w:t>
            </w:r>
          </w:p>
        </w:tc>
        <w:tc>
          <w:tcPr>
            <w:tcW w:w="957" w:type="dxa"/>
            <w:tcBorders>
              <w:top w:val="single" w:sz="4" w:space="0" w:color="auto"/>
            </w:tcBorders>
          </w:tcPr>
          <w:p w14:paraId="0655E7ED" w14:textId="77777777" w:rsidR="00CB45B7" w:rsidRDefault="00CB45B7" w:rsidP="00813947">
            <w:pPr>
              <w:jc w:val="both"/>
            </w:pPr>
            <w:r>
              <w:t>0.18</w:t>
            </w:r>
          </w:p>
        </w:tc>
        <w:tc>
          <w:tcPr>
            <w:tcW w:w="1470" w:type="dxa"/>
            <w:tcBorders>
              <w:top w:val="single" w:sz="4" w:space="0" w:color="auto"/>
            </w:tcBorders>
          </w:tcPr>
          <w:p w14:paraId="28AF2845" w14:textId="77777777" w:rsidR="00CB45B7" w:rsidRPr="00916D7D" w:rsidRDefault="00CB45B7" w:rsidP="00813947">
            <w:pPr>
              <w:jc w:val="both"/>
            </w:pPr>
            <w:r>
              <w:t>0.69</w:t>
            </w:r>
            <w:r w:rsidRPr="00C97349">
              <w:t>±</w:t>
            </w:r>
            <w:r>
              <w:t>0.67</w:t>
            </w:r>
            <w:r w:rsidRPr="00916D7D">
              <w:rPr>
                <w:vertAlign w:val="superscript"/>
              </w:rPr>
              <w:t>***</w:t>
            </w:r>
          </w:p>
        </w:tc>
      </w:tr>
      <w:tr w:rsidR="00CB45B7" w:rsidRPr="006B54EE" w14:paraId="41419C7A" w14:textId="77777777" w:rsidTr="00813947">
        <w:tc>
          <w:tcPr>
            <w:tcW w:w="1832" w:type="dxa"/>
          </w:tcPr>
          <w:p w14:paraId="7B71A8FB" w14:textId="77777777" w:rsidR="00CB45B7" w:rsidRPr="006B54EE" w:rsidRDefault="00CB45B7" w:rsidP="00813947">
            <w:pPr>
              <w:jc w:val="both"/>
            </w:pPr>
            <w:r>
              <w:t>Conscientiousness</w:t>
            </w:r>
          </w:p>
        </w:tc>
        <w:tc>
          <w:tcPr>
            <w:tcW w:w="1650" w:type="dxa"/>
          </w:tcPr>
          <w:p w14:paraId="526C8FE1" w14:textId="77777777" w:rsidR="00CB45B7" w:rsidRPr="00916D7D" w:rsidRDefault="00CB45B7" w:rsidP="00813947">
            <w:pPr>
              <w:jc w:val="both"/>
            </w:pPr>
            <w:r>
              <w:t>1.17</w:t>
            </w:r>
            <w:r w:rsidRPr="00C97349">
              <w:t>±</w:t>
            </w:r>
            <w:r>
              <w:t>0.69</w:t>
            </w:r>
            <w:r w:rsidRPr="00916D7D">
              <w:rPr>
                <w:vertAlign w:val="superscript"/>
              </w:rPr>
              <w:t>***</w:t>
            </w:r>
          </w:p>
        </w:tc>
        <w:tc>
          <w:tcPr>
            <w:tcW w:w="1651" w:type="dxa"/>
          </w:tcPr>
          <w:p w14:paraId="29D89DC1" w14:textId="77777777" w:rsidR="00CB45B7" w:rsidRPr="00916D7D" w:rsidRDefault="00CB45B7" w:rsidP="00813947">
            <w:pPr>
              <w:jc w:val="both"/>
            </w:pPr>
            <w:r>
              <w:t>1.00</w:t>
            </w:r>
            <w:r w:rsidRPr="006B54EE">
              <w:t>±</w:t>
            </w:r>
            <w:r>
              <w:t>0.79</w:t>
            </w:r>
            <w:r w:rsidRPr="00916D7D">
              <w:rPr>
                <w:vertAlign w:val="superscript"/>
              </w:rPr>
              <w:t>***</w:t>
            </w:r>
          </w:p>
        </w:tc>
        <w:tc>
          <w:tcPr>
            <w:tcW w:w="1165" w:type="dxa"/>
          </w:tcPr>
          <w:p w14:paraId="7628C7FB" w14:textId="77777777" w:rsidR="00CB45B7" w:rsidRPr="00916D7D" w:rsidRDefault="00CB45B7" w:rsidP="00813947">
            <w:pPr>
              <w:jc w:val="both"/>
            </w:pPr>
            <w:r>
              <w:t>-1.51</w:t>
            </w:r>
          </w:p>
        </w:tc>
        <w:tc>
          <w:tcPr>
            <w:tcW w:w="1123" w:type="dxa"/>
          </w:tcPr>
          <w:p w14:paraId="158CE458" w14:textId="77777777" w:rsidR="00CB45B7" w:rsidRPr="00916D7D" w:rsidRDefault="00CB45B7" w:rsidP="00813947">
            <w:pPr>
              <w:jc w:val="both"/>
            </w:pPr>
            <w:r>
              <w:t>165.47</w:t>
            </w:r>
          </w:p>
        </w:tc>
        <w:tc>
          <w:tcPr>
            <w:tcW w:w="957" w:type="dxa"/>
          </w:tcPr>
          <w:p w14:paraId="5920B6B2" w14:textId="77777777" w:rsidR="00CB45B7" w:rsidRDefault="00CB45B7" w:rsidP="00813947">
            <w:pPr>
              <w:jc w:val="both"/>
            </w:pPr>
            <w:r>
              <w:t>0.23</w:t>
            </w:r>
          </w:p>
        </w:tc>
        <w:tc>
          <w:tcPr>
            <w:tcW w:w="1470" w:type="dxa"/>
          </w:tcPr>
          <w:p w14:paraId="570DA361" w14:textId="77777777" w:rsidR="00CB45B7" w:rsidRPr="00916D7D" w:rsidRDefault="00CB45B7" w:rsidP="00813947">
            <w:pPr>
              <w:jc w:val="both"/>
            </w:pPr>
            <w:r>
              <w:t>1.09</w:t>
            </w:r>
            <w:r w:rsidRPr="00C97349">
              <w:t>±</w:t>
            </w:r>
            <w:r>
              <w:t>0.74</w:t>
            </w:r>
            <w:r w:rsidRPr="00916D7D">
              <w:rPr>
                <w:vertAlign w:val="superscript"/>
              </w:rPr>
              <w:t>***</w:t>
            </w:r>
          </w:p>
        </w:tc>
      </w:tr>
      <w:tr w:rsidR="00CB45B7" w:rsidRPr="006B54EE" w14:paraId="5ADE4488" w14:textId="77777777" w:rsidTr="00813947">
        <w:tc>
          <w:tcPr>
            <w:tcW w:w="1832" w:type="dxa"/>
          </w:tcPr>
          <w:p w14:paraId="0D1CBECD" w14:textId="77777777" w:rsidR="00CB45B7" w:rsidRPr="006B54EE" w:rsidRDefault="00CB45B7" w:rsidP="00813947">
            <w:pPr>
              <w:jc w:val="both"/>
            </w:pPr>
            <w:r>
              <w:t>Extraversion</w:t>
            </w:r>
          </w:p>
        </w:tc>
        <w:tc>
          <w:tcPr>
            <w:tcW w:w="1650" w:type="dxa"/>
          </w:tcPr>
          <w:p w14:paraId="22D08715" w14:textId="77777777" w:rsidR="00CB45B7" w:rsidRPr="00916D7D" w:rsidRDefault="00CB45B7" w:rsidP="00813947">
            <w:pPr>
              <w:jc w:val="both"/>
            </w:pPr>
            <w:r>
              <w:t>0.61</w:t>
            </w:r>
            <w:r w:rsidRPr="00C97349">
              <w:t>±</w:t>
            </w:r>
            <w:r>
              <w:t>0.84</w:t>
            </w:r>
            <w:r w:rsidRPr="00916D7D">
              <w:rPr>
                <w:vertAlign w:val="superscript"/>
              </w:rPr>
              <w:t>***</w:t>
            </w:r>
          </w:p>
        </w:tc>
        <w:tc>
          <w:tcPr>
            <w:tcW w:w="1651" w:type="dxa"/>
          </w:tcPr>
          <w:p w14:paraId="34DAE47B" w14:textId="77777777" w:rsidR="00CB45B7" w:rsidRPr="00916D7D" w:rsidRDefault="00CB45B7" w:rsidP="00813947">
            <w:pPr>
              <w:jc w:val="both"/>
            </w:pPr>
            <w:r w:rsidRPr="00916D7D">
              <w:t>0.95</w:t>
            </w:r>
            <w:r w:rsidRPr="006B54EE">
              <w:t>±</w:t>
            </w:r>
            <w:r>
              <w:t>0.86</w:t>
            </w:r>
            <w:r w:rsidRPr="00916D7D">
              <w:rPr>
                <w:vertAlign w:val="superscript"/>
              </w:rPr>
              <w:t>***</w:t>
            </w:r>
          </w:p>
        </w:tc>
        <w:tc>
          <w:tcPr>
            <w:tcW w:w="1165" w:type="dxa"/>
          </w:tcPr>
          <w:p w14:paraId="4C7C10D5" w14:textId="77777777" w:rsidR="00CB45B7" w:rsidRPr="00916D7D" w:rsidRDefault="00CB45B7" w:rsidP="00813947">
            <w:pPr>
              <w:jc w:val="both"/>
            </w:pPr>
            <w:r>
              <w:t>2.72</w:t>
            </w:r>
            <w:r w:rsidRPr="00916D7D">
              <w:rPr>
                <w:vertAlign w:val="superscript"/>
              </w:rPr>
              <w:t>**</w:t>
            </w:r>
          </w:p>
        </w:tc>
        <w:tc>
          <w:tcPr>
            <w:tcW w:w="1123" w:type="dxa"/>
          </w:tcPr>
          <w:p w14:paraId="4E9EA687" w14:textId="77777777" w:rsidR="00CB45B7" w:rsidRPr="00916D7D" w:rsidRDefault="00CB45B7" w:rsidP="00813947">
            <w:pPr>
              <w:jc w:val="both"/>
            </w:pPr>
            <w:r>
              <w:t>175.39</w:t>
            </w:r>
          </w:p>
        </w:tc>
        <w:tc>
          <w:tcPr>
            <w:tcW w:w="957" w:type="dxa"/>
          </w:tcPr>
          <w:p w14:paraId="37675924" w14:textId="77777777" w:rsidR="00CB45B7" w:rsidRDefault="00CB45B7" w:rsidP="00813947">
            <w:pPr>
              <w:jc w:val="both"/>
            </w:pPr>
            <w:r>
              <w:t>0.40</w:t>
            </w:r>
          </w:p>
        </w:tc>
        <w:tc>
          <w:tcPr>
            <w:tcW w:w="1470" w:type="dxa"/>
          </w:tcPr>
          <w:p w14:paraId="12D39A97" w14:textId="77777777" w:rsidR="00CB45B7" w:rsidRPr="00916D7D" w:rsidRDefault="00CB45B7" w:rsidP="00813947">
            <w:pPr>
              <w:jc w:val="both"/>
            </w:pPr>
            <w:r>
              <w:t>0.76</w:t>
            </w:r>
            <w:r w:rsidRPr="00C97349">
              <w:t>±</w:t>
            </w:r>
            <w:r>
              <w:t>0.86</w:t>
            </w:r>
            <w:r w:rsidRPr="00916D7D">
              <w:rPr>
                <w:vertAlign w:val="superscript"/>
              </w:rPr>
              <w:t>***</w:t>
            </w:r>
          </w:p>
        </w:tc>
      </w:tr>
      <w:tr w:rsidR="00CB45B7" w:rsidRPr="006B54EE" w14:paraId="15042CBD" w14:textId="77777777" w:rsidTr="00813947">
        <w:tc>
          <w:tcPr>
            <w:tcW w:w="1832" w:type="dxa"/>
          </w:tcPr>
          <w:p w14:paraId="1BF7FFA8" w14:textId="77777777" w:rsidR="00CB45B7" w:rsidRPr="006B54EE" w:rsidRDefault="00CB45B7" w:rsidP="00813947">
            <w:pPr>
              <w:jc w:val="both"/>
            </w:pPr>
            <w:r>
              <w:t>Agreeableness</w:t>
            </w:r>
          </w:p>
        </w:tc>
        <w:tc>
          <w:tcPr>
            <w:tcW w:w="1650" w:type="dxa"/>
          </w:tcPr>
          <w:p w14:paraId="1417993D" w14:textId="77777777" w:rsidR="00CB45B7" w:rsidRPr="00916D7D" w:rsidRDefault="00CB45B7" w:rsidP="00813947">
            <w:pPr>
              <w:jc w:val="both"/>
            </w:pPr>
            <w:r>
              <w:t>1.30</w:t>
            </w:r>
            <w:r w:rsidRPr="00C97349">
              <w:t>±</w:t>
            </w:r>
            <w:r>
              <w:t>0.75</w:t>
            </w:r>
            <w:r w:rsidRPr="00916D7D">
              <w:rPr>
                <w:vertAlign w:val="superscript"/>
              </w:rPr>
              <w:t>***</w:t>
            </w:r>
          </w:p>
        </w:tc>
        <w:tc>
          <w:tcPr>
            <w:tcW w:w="1651" w:type="dxa"/>
          </w:tcPr>
          <w:p w14:paraId="685E7E64" w14:textId="77777777" w:rsidR="00CB45B7" w:rsidRPr="00916D7D" w:rsidRDefault="00CB45B7" w:rsidP="00813947">
            <w:pPr>
              <w:jc w:val="both"/>
            </w:pPr>
            <w:r>
              <w:t>0.86</w:t>
            </w:r>
            <w:r w:rsidRPr="006B54EE">
              <w:t>±</w:t>
            </w:r>
            <w:r>
              <w:t>0.70</w:t>
            </w:r>
            <w:r w:rsidRPr="00916D7D">
              <w:rPr>
                <w:vertAlign w:val="superscript"/>
              </w:rPr>
              <w:t>***</w:t>
            </w:r>
          </w:p>
        </w:tc>
        <w:tc>
          <w:tcPr>
            <w:tcW w:w="1165" w:type="dxa"/>
          </w:tcPr>
          <w:p w14:paraId="0C23BC3D" w14:textId="77777777" w:rsidR="00CB45B7" w:rsidRPr="00916D7D" w:rsidRDefault="00CB45B7" w:rsidP="00813947">
            <w:pPr>
              <w:jc w:val="both"/>
            </w:pPr>
            <w:r>
              <w:t>-4.01</w:t>
            </w:r>
            <w:r w:rsidRPr="00916D7D">
              <w:rPr>
                <w:vertAlign w:val="superscript"/>
              </w:rPr>
              <w:t>***</w:t>
            </w:r>
          </w:p>
        </w:tc>
        <w:tc>
          <w:tcPr>
            <w:tcW w:w="1123" w:type="dxa"/>
          </w:tcPr>
          <w:p w14:paraId="51F937F1" w14:textId="77777777" w:rsidR="00CB45B7" w:rsidRPr="00916D7D" w:rsidRDefault="00CB45B7" w:rsidP="00813947">
            <w:pPr>
              <w:jc w:val="both"/>
            </w:pPr>
            <w:r>
              <w:t>179.92</w:t>
            </w:r>
          </w:p>
        </w:tc>
        <w:tc>
          <w:tcPr>
            <w:tcW w:w="957" w:type="dxa"/>
          </w:tcPr>
          <w:p w14:paraId="60E3F2D6" w14:textId="77777777" w:rsidR="00CB45B7" w:rsidRDefault="00CB45B7" w:rsidP="00813947">
            <w:pPr>
              <w:jc w:val="both"/>
            </w:pPr>
            <w:r>
              <w:t>0.60</w:t>
            </w:r>
          </w:p>
        </w:tc>
        <w:tc>
          <w:tcPr>
            <w:tcW w:w="1470" w:type="dxa"/>
          </w:tcPr>
          <w:p w14:paraId="23E7F73A" w14:textId="77777777" w:rsidR="00CB45B7" w:rsidRPr="00916D7D" w:rsidRDefault="00CB45B7" w:rsidP="00813947">
            <w:pPr>
              <w:jc w:val="both"/>
            </w:pPr>
            <w:r>
              <w:t>1.10</w:t>
            </w:r>
            <w:r w:rsidRPr="00C97349">
              <w:t>±</w:t>
            </w:r>
            <w:r>
              <w:t>0.76</w:t>
            </w:r>
            <w:r w:rsidRPr="00916D7D">
              <w:rPr>
                <w:vertAlign w:val="superscript"/>
              </w:rPr>
              <w:t>***</w:t>
            </w:r>
          </w:p>
        </w:tc>
      </w:tr>
      <w:tr w:rsidR="00CB45B7" w:rsidRPr="006B54EE" w14:paraId="4BCAB7E3" w14:textId="77777777" w:rsidTr="00813947">
        <w:trPr>
          <w:trHeight w:val="301"/>
        </w:trPr>
        <w:tc>
          <w:tcPr>
            <w:tcW w:w="1832" w:type="dxa"/>
          </w:tcPr>
          <w:p w14:paraId="5C34F8C5" w14:textId="77777777" w:rsidR="00CB45B7" w:rsidRPr="006B54EE" w:rsidRDefault="00CB45B7" w:rsidP="00813947">
            <w:pPr>
              <w:jc w:val="both"/>
            </w:pPr>
            <w:r>
              <w:t>Neuroticism</w:t>
            </w:r>
          </w:p>
        </w:tc>
        <w:tc>
          <w:tcPr>
            <w:tcW w:w="1650" w:type="dxa"/>
          </w:tcPr>
          <w:p w14:paraId="77387A8D" w14:textId="77777777" w:rsidR="00CB45B7" w:rsidRPr="00916D7D" w:rsidRDefault="00CB45B7" w:rsidP="00813947">
            <w:pPr>
              <w:jc w:val="both"/>
            </w:pPr>
            <w:r>
              <w:t>-1.51</w:t>
            </w:r>
            <w:r w:rsidRPr="00C97349">
              <w:t>±</w:t>
            </w:r>
            <w:r>
              <w:t>0.95</w:t>
            </w:r>
            <w:r w:rsidRPr="00916D7D">
              <w:rPr>
                <w:vertAlign w:val="superscript"/>
              </w:rPr>
              <w:t>***</w:t>
            </w:r>
          </w:p>
        </w:tc>
        <w:tc>
          <w:tcPr>
            <w:tcW w:w="1651" w:type="dxa"/>
          </w:tcPr>
          <w:p w14:paraId="4CC25D05" w14:textId="77777777" w:rsidR="00CB45B7" w:rsidRPr="00916D7D" w:rsidRDefault="00CB45B7" w:rsidP="00813947">
            <w:pPr>
              <w:jc w:val="both"/>
            </w:pPr>
            <w:r>
              <w:t>-1.01</w:t>
            </w:r>
            <w:r w:rsidRPr="006B54EE">
              <w:t>±</w:t>
            </w:r>
            <w:r>
              <w:t>0.99</w:t>
            </w:r>
            <w:r w:rsidRPr="00916D7D">
              <w:rPr>
                <w:vertAlign w:val="superscript"/>
              </w:rPr>
              <w:t>***</w:t>
            </w:r>
          </w:p>
        </w:tc>
        <w:tc>
          <w:tcPr>
            <w:tcW w:w="1165" w:type="dxa"/>
          </w:tcPr>
          <w:p w14:paraId="577774F0" w14:textId="77777777" w:rsidR="00CB45B7" w:rsidRPr="00916D7D" w:rsidRDefault="00CB45B7" w:rsidP="00813947">
            <w:pPr>
              <w:jc w:val="both"/>
            </w:pPr>
            <w:r>
              <w:t>3.48</w:t>
            </w:r>
            <w:r w:rsidRPr="00916D7D">
              <w:rPr>
                <w:vertAlign w:val="superscript"/>
              </w:rPr>
              <w:t>***</w:t>
            </w:r>
          </w:p>
        </w:tc>
        <w:tc>
          <w:tcPr>
            <w:tcW w:w="1123" w:type="dxa"/>
          </w:tcPr>
          <w:p w14:paraId="1CCDF926" w14:textId="77777777" w:rsidR="00CB45B7" w:rsidRPr="00916D7D" w:rsidRDefault="00CB45B7" w:rsidP="00813947">
            <w:pPr>
              <w:jc w:val="both"/>
            </w:pPr>
            <w:r>
              <w:t>174.01</w:t>
            </w:r>
          </w:p>
        </w:tc>
        <w:tc>
          <w:tcPr>
            <w:tcW w:w="957" w:type="dxa"/>
          </w:tcPr>
          <w:p w14:paraId="24DBF81B" w14:textId="77777777" w:rsidR="00CB45B7" w:rsidRDefault="00CB45B7" w:rsidP="00813947">
            <w:pPr>
              <w:jc w:val="both"/>
            </w:pPr>
            <w:r>
              <w:t>0.52</w:t>
            </w:r>
          </w:p>
        </w:tc>
        <w:tc>
          <w:tcPr>
            <w:tcW w:w="1470" w:type="dxa"/>
          </w:tcPr>
          <w:p w14:paraId="25C9DA5C" w14:textId="77777777" w:rsidR="00CB45B7" w:rsidRPr="00916D7D" w:rsidRDefault="00CB45B7" w:rsidP="00813947">
            <w:pPr>
              <w:jc w:val="both"/>
            </w:pPr>
            <w:r>
              <w:t>-1.30</w:t>
            </w:r>
            <w:r w:rsidRPr="00C97349">
              <w:t>±</w:t>
            </w:r>
            <w:r>
              <w:t>1.0</w:t>
            </w:r>
            <w:r w:rsidRPr="00916D7D">
              <w:rPr>
                <w:vertAlign w:val="superscript"/>
              </w:rPr>
              <w:t>***</w:t>
            </w:r>
          </w:p>
        </w:tc>
      </w:tr>
    </w:tbl>
    <w:p w14:paraId="3AFD6FB5" w14:textId="77777777" w:rsidR="00CB45B7" w:rsidRDefault="00CB45B7" w:rsidP="00CB45B7">
      <w:pPr>
        <w:jc w:val="both"/>
      </w:pPr>
      <w:r>
        <w:t>Note. Degree of freedom was adjusted because Welch t-test was employed. ** &lt; .01, *** &lt; .001</w:t>
      </w:r>
    </w:p>
    <w:p w14:paraId="53565C6B" w14:textId="77777777" w:rsidR="00CB45B7" w:rsidRPr="00B679CB" w:rsidRDefault="00CB45B7" w:rsidP="00B62B9A">
      <w:pPr>
        <w:jc w:val="both"/>
      </w:pPr>
    </w:p>
    <w:p w14:paraId="7B70CBE2" w14:textId="77777777" w:rsidR="00D32270" w:rsidRDefault="00D32270" w:rsidP="00B62B9A">
      <w:pPr>
        <w:jc w:val="both"/>
      </w:pPr>
    </w:p>
    <w:p w14:paraId="26660F9C" w14:textId="77777777" w:rsidR="00AE1A15" w:rsidRDefault="008C4941" w:rsidP="00AE1A15">
      <w:pPr>
        <w:jc w:val="both"/>
      </w:pPr>
      <w:r>
        <w:rPr>
          <w:rFonts w:hint="eastAsia"/>
        </w:rPr>
        <w:t>D</w:t>
      </w:r>
      <w:r>
        <w:t>iscussion</w:t>
      </w:r>
    </w:p>
    <w:p w14:paraId="256E2FD7" w14:textId="21647841" w:rsidR="00087DF1" w:rsidRPr="00087DF1" w:rsidRDefault="00087DF1" w:rsidP="00AE1A15">
      <w:pPr>
        <w:jc w:val="both"/>
      </w:pPr>
      <w:r w:rsidRPr="00087DF1">
        <w:t xml:space="preserve">The results for the Big Five scale were similar to those of previous studies, with some minor differences. For example, the correlations between self and ideal romantic partner ratings for Agreeableness (.18) and Neuroticism (.12) were lower than in previous studies. A possible reason for this is sex differences. Regarding Agreeableness, correlations between self and ideal romantic partner ratings were not significant in females, and weaker than those in males. Female participants gave more weight to Agreeableness in the ideal romantic partner than did males, which was consistent with previous studies indicating that agreeableness is one of the most strongly sought traits in long-term mates and one of the best predictors of a good partner (Miller, 2007). Indeed, all of the female participants scored above 3.5 with respect to the level of Agreeableness of an ideal partner and 20.8% of them scored above 5.0 (highly desirable). On the other hand, only 40.6% of female participants scored above 3.5 with respect to their self-rated Agreeableness, and none of them had a self-rating of </w:t>
      </w:r>
      <w:r w:rsidRPr="00087DF1">
        <w:lastRenderedPageBreak/>
        <w:t>5.0. Such a ceiling effect might have resulted in the low correlations between self-rated and ideal partner Agreeableness in females. Regarding Neuroticism, the correlation between the self-rated and ideal partner rating was non-significant in males, and lower than in females. Although the ceiling effect seen for Agreeableness was not noted for Neuroticism, male Neuroticism ratings on the BFS-SELF were lower than those of females, while there was no sex difference in BFS-IDEAL Neuroticism scores. The low self-rated Neuroticism might be responsible for the weak correlations between self-rated and ideal partner ratings for this trait.</w:t>
      </w:r>
    </w:p>
    <w:p w14:paraId="774791EF" w14:textId="1C95039E" w:rsidR="00907ECA" w:rsidRDefault="00907ECA" w:rsidP="00087DF1">
      <w:pPr>
        <w:jc w:val="both"/>
      </w:pPr>
    </w:p>
    <w:p w14:paraId="1BB87D92" w14:textId="77777777" w:rsidR="00D81F9C" w:rsidRDefault="00D81F9C" w:rsidP="00087DF1">
      <w:pPr>
        <w:jc w:val="both"/>
      </w:pPr>
    </w:p>
    <w:p w14:paraId="4154D096" w14:textId="63F14317" w:rsidR="004F5170" w:rsidRPr="004F5170" w:rsidRDefault="008C4941" w:rsidP="00B62B9A">
      <w:r>
        <w:t>References</w:t>
      </w:r>
    </w:p>
    <w:p w14:paraId="5DB588FE" w14:textId="781712A7" w:rsidR="004F5170" w:rsidRPr="00657A94" w:rsidRDefault="004F5170" w:rsidP="00B62B9A">
      <w:pPr>
        <w:jc w:val="both"/>
      </w:pPr>
      <w:proofErr w:type="spellStart"/>
      <w:r w:rsidRPr="00657A94">
        <w:t>Botwin</w:t>
      </w:r>
      <w:proofErr w:type="spellEnd"/>
      <w:r w:rsidRPr="00657A94">
        <w:t xml:space="preserve">, M. D., Buss, D. M., &amp; Shackelford, T. K. (1997). Personality and mate preferences: Five factors in mate selection and marital satisfaction. Journal of Personality, 65, 107–136. </w:t>
      </w:r>
      <w:r w:rsidR="000D4BBD" w:rsidRPr="00442860">
        <w:t>https://</w:t>
      </w:r>
      <w:r w:rsidR="000D4BBD" w:rsidRPr="007228D4">
        <w:t>doi.org/</w:t>
      </w:r>
      <w:r w:rsidR="00D5463D" w:rsidRPr="00657A94">
        <w:t>10.1111/j.1467-6494.1997.tb00531.x</w:t>
      </w:r>
    </w:p>
    <w:p w14:paraId="18555A5B" w14:textId="61CD8B99" w:rsidR="004F5170" w:rsidRPr="00657A94" w:rsidRDefault="004F5170" w:rsidP="00B62B9A">
      <w:pPr>
        <w:jc w:val="both"/>
      </w:pPr>
    </w:p>
    <w:p w14:paraId="554D05A2" w14:textId="7B372865" w:rsidR="004F5170" w:rsidRPr="00657A94" w:rsidRDefault="004F5170" w:rsidP="00B62B9A">
      <w:pPr>
        <w:jc w:val="both"/>
      </w:pPr>
      <w:r w:rsidRPr="00657A94">
        <w:t xml:space="preserve">Dijkstra, P., &amp; </w:t>
      </w:r>
      <w:proofErr w:type="spellStart"/>
      <w:r w:rsidRPr="00657A94">
        <w:t>Barelds</w:t>
      </w:r>
      <w:proofErr w:type="spellEnd"/>
      <w:r w:rsidRPr="00657A94">
        <w:t xml:space="preserve">, D. P. </w:t>
      </w:r>
      <w:r w:rsidR="003611E7">
        <w:t xml:space="preserve">H. </w:t>
      </w:r>
      <w:r w:rsidRPr="00657A94">
        <w:t>(2008). Do people know what they want: A similar or complementary partner? Evolutionary Psychology, 6(4), 595–602.</w:t>
      </w:r>
      <w:r w:rsidR="0025550E" w:rsidRPr="00657A94">
        <w:t xml:space="preserve"> </w:t>
      </w:r>
      <w:r w:rsidR="000D4BBD" w:rsidRPr="00442860">
        <w:t>https://</w:t>
      </w:r>
      <w:r w:rsidR="000D4BBD" w:rsidRPr="007228D4">
        <w:t>doi.org/</w:t>
      </w:r>
      <w:r w:rsidR="0025550E" w:rsidRPr="00657A94">
        <w:t>10.1177/147470490800600406</w:t>
      </w:r>
    </w:p>
    <w:p w14:paraId="06DE0DF1" w14:textId="28F29B04" w:rsidR="004F5170" w:rsidRPr="00657A94" w:rsidRDefault="004F5170" w:rsidP="00B62B9A">
      <w:pPr>
        <w:jc w:val="both"/>
      </w:pPr>
    </w:p>
    <w:p w14:paraId="0FC99438" w14:textId="356DA4BD" w:rsidR="004F5170" w:rsidRPr="00657A94" w:rsidRDefault="004F5170" w:rsidP="00B62B9A">
      <w:pPr>
        <w:jc w:val="both"/>
      </w:pPr>
      <w:r w:rsidRPr="00657A94">
        <w:t xml:space="preserve">Figueredo, A. J., </w:t>
      </w:r>
      <w:proofErr w:type="spellStart"/>
      <w:r w:rsidRPr="00657A94">
        <w:t>Sefcek</w:t>
      </w:r>
      <w:proofErr w:type="spellEnd"/>
      <w:r w:rsidRPr="00657A94">
        <w:t>, J. A., &amp; Jones, D. N. (2006). The ideal romantic partner personality. Personality and Individual Differences, 41, 431–441.</w:t>
      </w:r>
      <w:r w:rsidR="0025550E" w:rsidRPr="00657A94">
        <w:t xml:space="preserve"> </w:t>
      </w:r>
      <w:r w:rsidR="000D4BBD" w:rsidRPr="00442860">
        <w:t>https://</w:t>
      </w:r>
      <w:r w:rsidR="000D4BBD" w:rsidRPr="007228D4">
        <w:t>doi.org/</w:t>
      </w:r>
      <w:r w:rsidR="0025550E" w:rsidRPr="00657A94">
        <w:t>10.1016/j.paid.2006.02.004</w:t>
      </w:r>
    </w:p>
    <w:p w14:paraId="4347EEA0" w14:textId="4E48B341" w:rsidR="004F5170" w:rsidRPr="00657A94" w:rsidRDefault="004F5170" w:rsidP="00B62B9A">
      <w:pPr>
        <w:jc w:val="both"/>
      </w:pPr>
    </w:p>
    <w:p w14:paraId="2FAC4ABB" w14:textId="1DA1E47B" w:rsidR="004F5170" w:rsidRPr="00657A94" w:rsidRDefault="004F5170" w:rsidP="00B62B9A">
      <w:pPr>
        <w:jc w:val="both"/>
      </w:pPr>
      <w:r w:rsidRPr="00657A94">
        <w:t xml:space="preserve">Miller, G. F. (2007). Sexual selection for moral virtues. </w:t>
      </w:r>
      <w:r w:rsidR="003611E7">
        <w:t xml:space="preserve">The </w:t>
      </w:r>
      <w:r w:rsidRPr="00657A94">
        <w:t>Quarterly Review of Biology, 82, 97–125.</w:t>
      </w:r>
      <w:r w:rsidR="0026480E" w:rsidRPr="00657A94">
        <w:t xml:space="preserve"> </w:t>
      </w:r>
      <w:r w:rsidR="00021DC2" w:rsidRPr="00442860">
        <w:t>https://</w:t>
      </w:r>
      <w:r w:rsidR="00021DC2" w:rsidRPr="007228D4">
        <w:t>doi.org/</w:t>
      </w:r>
      <w:r w:rsidR="0026480E" w:rsidRPr="00657A94">
        <w:t>10.1086/517857</w:t>
      </w:r>
    </w:p>
    <w:p w14:paraId="110570F1" w14:textId="02D5D451" w:rsidR="00AE1A15" w:rsidRDefault="00AE1A15"/>
    <w:p w14:paraId="431747BF" w14:textId="3A6FB7B9" w:rsidR="00657A94" w:rsidRPr="00657A94" w:rsidRDefault="00657A94" w:rsidP="00657A94">
      <w:proofErr w:type="spellStart"/>
      <w:r w:rsidRPr="00657A94">
        <w:t>Namikawa</w:t>
      </w:r>
      <w:proofErr w:type="spellEnd"/>
      <w:r w:rsidRPr="00657A94">
        <w:t xml:space="preserve">, T., </w:t>
      </w:r>
      <w:proofErr w:type="spellStart"/>
      <w:r w:rsidRPr="00657A94">
        <w:t>Tani</w:t>
      </w:r>
      <w:proofErr w:type="spellEnd"/>
      <w:r w:rsidRPr="00657A94">
        <w:t xml:space="preserve">, I., </w:t>
      </w:r>
      <w:proofErr w:type="spellStart"/>
      <w:r w:rsidRPr="00657A94">
        <w:t>Wakita</w:t>
      </w:r>
      <w:proofErr w:type="spellEnd"/>
      <w:r w:rsidRPr="00657A94">
        <w:t xml:space="preserve">, T., </w:t>
      </w:r>
      <w:proofErr w:type="spellStart"/>
      <w:r w:rsidRPr="00657A94">
        <w:t>Kumagai</w:t>
      </w:r>
      <w:proofErr w:type="spellEnd"/>
      <w:r w:rsidRPr="00657A94">
        <w:t xml:space="preserve">, R., </w:t>
      </w:r>
      <w:proofErr w:type="spellStart"/>
      <w:r w:rsidRPr="00657A94">
        <w:t>Nakane</w:t>
      </w:r>
      <w:proofErr w:type="spellEnd"/>
      <w:r w:rsidRPr="00657A94">
        <w:t xml:space="preserve">, A., &amp; Noguchi, H. (2012). Development of a short form of the Japanese Big-Five Scale, and a test of its reliability and validity. </w:t>
      </w:r>
      <w:proofErr w:type="spellStart"/>
      <w:r w:rsidRPr="00657A94">
        <w:t>Shinrigakukenkyu</w:t>
      </w:r>
      <w:proofErr w:type="spellEnd"/>
      <w:r w:rsidRPr="00657A94">
        <w:t xml:space="preserve"> [The Japanese Journal of Psychology], 83, 91–99 [Japanese with English abstract].</w:t>
      </w:r>
      <w:r w:rsidR="00E8214B">
        <w:t xml:space="preserve"> https://doi.org/10.4992/jjpsy.83.91</w:t>
      </w:r>
    </w:p>
    <w:p w14:paraId="603ED9A0" w14:textId="6F2853A9" w:rsidR="00657A94" w:rsidRDefault="00657A94">
      <w:bookmarkStart w:id="0" w:name="_GoBack"/>
      <w:bookmarkEnd w:id="0"/>
    </w:p>
    <w:p w14:paraId="791E5C19" w14:textId="5559E8FA" w:rsidR="00657A94" w:rsidRDefault="00657A94">
      <w:r w:rsidRPr="00657A94">
        <w:t xml:space="preserve">Wada, S. (1996). Construction of the Big Five Scales of personality trait terms and concurrent validity with NPI. </w:t>
      </w:r>
      <w:proofErr w:type="spellStart"/>
      <w:r w:rsidRPr="00657A94">
        <w:t>Shinrigakukenkyu</w:t>
      </w:r>
      <w:proofErr w:type="spellEnd"/>
      <w:r w:rsidRPr="00657A94">
        <w:t xml:space="preserve"> [The Japanese Journal of Psychology], 67, 61–67 [Japanese with English abstract].</w:t>
      </w:r>
      <w:r w:rsidR="008A7CA5">
        <w:t xml:space="preserve"> https://doi.org/10.4992/jjpsy.67.61</w:t>
      </w:r>
    </w:p>
    <w:p w14:paraId="0B62DAF9" w14:textId="77777777" w:rsidR="00657A94" w:rsidRPr="00657A94" w:rsidRDefault="00657A94"/>
    <w:sectPr w:rsidR="00657A94" w:rsidRPr="00657A94" w:rsidSect="00F064BA">
      <w:headerReference w:type="even" r:id="rId7"/>
      <w:headerReference w:type="default" r:id="rId8"/>
      <w:footerReference w:type="even" r:id="rId9"/>
      <w:footerReference w:type="default" r:id="rId10"/>
      <w:pgSz w:w="11900" w:h="16840"/>
      <w:pgMar w:top="1418" w:right="1134" w:bottom="1418"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0DB9" w14:textId="77777777" w:rsidR="00FC6E3E" w:rsidRDefault="00FC6E3E" w:rsidP="003767AF">
      <w:r>
        <w:separator/>
      </w:r>
    </w:p>
  </w:endnote>
  <w:endnote w:type="continuationSeparator" w:id="0">
    <w:p w14:paraId="04736397" w14:textId="77777777" w:rsidR="00FC6E3E" w:rsidRDefault="00FC6E3E" w:rsidP="0037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CF9F" w14:textId="77777777" w:rsidR="001D4D4C" w:rsidRDefault="001D4D4C" w:rsidP="00FB4F78">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59C979" w14:textId="77777777" w:rsidR="001D4D4C" w:rsidRDefault="001D4D4C" w:rsidP="00FB4F7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842431170"/>
      <w:docPartObj>
        <w:docPartGallery w:val="Page Numbers (Bottom of Page)"/>
        <w:docPartUnique/>
      </w:docPartObj>
    </w:sdtPr>
    <w:sdtEndPr>
      <w:rPr>
        <w:rStyle w:val="aa"/>
      </w:rPr>
    </w:sdtEndPr>
    <w:sdtContent>
      <w:p w14:paraId="3BC170C9" w14:textId="6E1EE53C" w:rsidR="00FB4F78" w:rsidRDefault="00FB4F78" w:rsidP="00A900A5">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51D41593" w14:textId="77777777" w:rsidR="000D3B87" w:rsidRDefault="000D3B87" w:rsidP="00FB4F7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CB24" w14:textId="77777777" w:rsidR="00FC6E3E" w:rsidRDefault="00FC6E3E" w:rsidP="003767AF">
      <w:r>
        <w:separator/>
      </w:r>
    </w:p>
  </w:footnote>
  <w:footnote w:type="continuationSeparator" w:id="0">
    <w:p w14:paraId="01F597CF" w14:textId="77777777" w:rsidR="00FC6E3E" w:rsidRDefault="00FC6E3E" w:rsidP="0037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37A1" w14:textId="77777777" w:rsidR="001D4D4C" w:rsidRDefault="001D4D4C" w:rsidP="001D4D4C">
    <w:pPr>
      <w:pStyle w:val="a6"/>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D0EA770" w14:textId="77777777" w:rsidR="001D4D4C" w:rsidRDefault="001D4D4C" w:rsidP="00264A4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D316" w14:textId="77777777" w:rsidR="001D4D4C" w:rsidRDefault="001D4D4C" w:rsidP="001D4D4C">
    <w:pPr>
      <w:pStyle w:val="a6"/>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531CF">
      <w:rPr>
        <w:rStyle w:val="aa"/>
        <w:noProof/>
      </w:rPr>
      <w:t>2</w:t>
    </w:r>
    <w:r>
      <w:rPr>
        <w:rStyle w:val="aa"/>
      </w:rPr>
      <w:fldChar w:fldCharType="end"/>
    </w:r>
  </w:p>
  <w:p w14:paraId="7E28BD02" w14:textId="77777777" w:rsidR="001D4D4C" w:rsidRDefault="001D4D4C" w:rsidP="00264A45">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E1942"/>
    <w:multiLevelType w:val="hybridMultilevel"/>
    <w:tmpl w:val="FC8AD088"/>
    <w:lvl w:ilvl="0" w:tplc="3712F622">
      <w:start w:val="18"/>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2B30853"/>
    <w:multiLevelType w:val="hybridMultilevel"/>
    <w:tmpl w:val="909AD036"/>
    <w:lvl w:ilvl="0" w:tplc="27429B12">
      <w:start w:val="18"/>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defaultTabStop w:val="48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BA"/>
    <w:rsid w:val="00000B91"/>
    <w:rsid w:val="00000EBE"/>
    <w:rsid w:val="00005C43"/>
    <w:rsid w:val="00013E21"/>
    <w:rsid w:val="000155B5"/>
    <w:rsid w:val="00020133"/>
    <w:rsid w:val="00021DC2"/>
    <w:rsid w:val="00023782"/>
    <w:rsid w:val="00026447"/>
    <w:rsid w:val="00027880"/>
    <w:rsid w:val="00030A1E"/>
    <w:rsid w:val="00035802"/>
    <w:rsid w:val="00036966"/>
    <w:rsid w:val="000403CE"/>
    <w:rsid w:val="00041635"/>
    <w:rsid w:val="0004772F"/>
    <w:rsid w:val="0005019F"/>
    <w:rsid w:val="000519BA"/>
    <w:rsid w:val="00057426"/>
    <w:rsid w:val="000606A7"/>
    <w:rsid w:val="000610E6"/>
    <w:rsid w:val="0006241B"/>
    <w:rsid w:val="0006687B"/>
    <w:rsid w:val="0007149C"/>
    <w:rsid w:val="00076B35"/>
    <w:rsid w:val="00080F17"/>
    <w:rsid w:val="00083044"/>
    <w:rsid w:val="00087D95"/>
    <w:rsid w:val="00087DF1"/>
    <w:rsid w:val="00093653"/>
    <w:rsid w:val="00093AC2"/>
    <w:rsid w:val="0009467E"/>
    <w:rsid w:val="000951C4"/>
    <w:rsid w:val="00097B6F"/>
    <w:rsid w:val="000A368F"/>
    <w:rsid w:val="000A6C48"/>
    <w:rsid w:val="000B07FD"/>
    <w:rsid w:val="000B1237"/>
    <w:rsid w:val="000B1B3C"/>
    <w:rsid w:val="000B4A95"/>
    <w:rsid w:val="000B5139"/>
    <w:rsid w:val="000B6078"/>
    <w:rsid w:val="000B78CC"/>
    <w:rsid w:val="000C19C3"/>
    <w:rsid w:val="000C26B8"/>
    <w:rsid w:val="000C56E3"/>
    <w:rsid w:val="000D1820"/>
    <w:rsid w:val="000D3B87"/>
    <w:rsid w:val="000D4BBD"/>
    <w:rsid w:val="000D6A5D"/>
    <w:rsid w:val="000D6F44"/>
    <w:rsid w:val="000E2CF8"/>
    <w:rsid w:val="000E2D13"/>
    <w:rsid w:val="000E5B6F"/>
    <w:rsid w:val="000E7B95"/>
    <w:rsid w:val="000F18E3"/>
    <w:rsid w:val="000F2DEE"/>
    <w:rsid w:val="000F3634"/>
    <w:rsid w:val="000F53EE"/>
    <w:rsid w:val="001045F7"/>
    <w:rsid w:val="0011204B"/>
    <w:rsid w:val="00120B85"/>
    <w:rsid w:val="0012388F"/>
    <w:rsid w:val="00124422"/>
    <w:rsid w:val="0012663C"/>
    <w:rsid w:val="00127FE4"/>
    <w:rsid w:val="00134863"/>
    <w:rsid w:val="001374CC"/>
    <w:rsid w:val="00137BA4"/>
    <w:rsid w:val="00141191"/>
    <w:rsid w:val="00146023"/>
    <w:rsid w:val="001477B3"/>
    <w:rsid w:val="00150ACF"/>
    <w:rsid w:val="0015103B"/>
    <w:rsid w:val="0015117F"/>
    <w:rsid w:val="00152AE3"/>
    <w:rsid w:val="001531CF"/>
    <w:rsid w:val="00154B10"/>
    <w:rsid w:val="00157EBF"/>
    <w:rsid w:val="001653FE"/>
    <w:rsid w:val="001654BB"/>
    <w:rsid w:val="001725EC"/>
    <w:rsid w:val="0017467B"/>
    <w:rsid w:val="00185108"/>
    <w:rsid w:val="00190494"/>
    <w:rsid w:val="001936CB"/>
    <w:rsid w:val="001951D7"/>
    <w:rsid w:val="0019522C"/>
    <w:rsid w:val="00195C47"/>
    <w:rsid w:val="001B2B79"/>
    <w:rsid w:val="001B2CC9"/>
    <w:rsid w:val="001B5278"/>
    <w:rsid w:val="001B579B"/>
    <w:rsid w:val="001B720C"/>
    <w:rsid w:val="001C646D"/>
    <w:rsid w:val="001D1068"/>
    <w:rsid w:val="001D196C"/>
    <w:rsid w:val="001D242A"/>
    <w:rsid w:val="001D4D4C"/>
    <w:rsid w:val="001E31FB"/>
    <w:rsid w:val="001F00A0"/>
    <w:rsid w:val="001F5A53"/>
    <w:rsid w:val="001F7EBE"/>
    <w:rsid w:val="002074AD"/>
    <w:rsid w:val="00214CAB"/>
    <w:rsid w:val="00231A5D"/>
    <w:rsid w:val="002344B4"/>
    <w:rsid w:val="0023759B"/>
    <w:rsid w:val="002408EE"/>
    <w:rsid w:val="00242FD3"/>
    <w:rsid w:val="00246094"/>
    <w:rsid w:val="0025550E"/>
    <w:rsid w:val="00263DDB"/>
    <w:rsid w:val="0026480E"/>
    <w:rsid w:val="00264A45"/>
    <w:rsid w:val="00271476"/>
    <w:rsid w:val="002723FE"/>
    <w:rsid w:val="00273DAC"/>
    <w:rsid w:val="00280603"/>
    <w:rsid w:val="00281FBF"/>
    <w:rsid w:val="002835CF"/>
    <w:rsid w:val="002872DE"/>
    <w:rsid w:val="00292F6D"/>
    <w:rsid w:val="002947FB"/>
    <w:rsid w:val="00294C29"/>
    <w:rsid w:val="002961B7"/>
    <w:rsid w:val="00296648"/>
    <w:rsid w:val="002976F2"/>
    <w:rsid w:val="002A2352"/>
    <w:rsid w:val="002A6AB5"/>
    <w:rsid w:val="002B37A0"/>
    <w:rsid w:val="002B4BB1"/>
    <w:rsid w:val="002C0A6F"/>
    <w:rsid w:val="002C0B79"/>
    <w:rsid w:val="002C346F"/>
    <w:rsid w:val="002C5205"/>
    <w:rsid w:val="002C7DBE"/>
    <w:rsid w:val="002C7DC6"/>
    <w:rsid w:val="002D41B3"/>
    <w:rsid w:val="002D490A"/>
    <w:rsid w:val="002D5C5D"/>
    <w:rsid w:val="002D60B8"/>
    <w:rsid w:val="002E4C9B"/>
    <w:rsid w:val="002E7F0A"/>
    <w:rsid w:val="002F2755"/>
    <w:rsid w:val="002F3013"/>
    <w:rsid w:val="002F3338"/>
    <w:rsid w:val="003004DB"/>
    <w:rsid w:val="00300AE9"/>
    <w:rsid w:val="00304043"/>
    <w:rsid w:val="0030707B"/>
    <w:rsid w:val="003077EE"/>
    <w:rsid w:val="003146DB"/>
    <w:rsid w:val="00314ACF"/>
    <w:rsid w:val="00315178"/>
    <w:rsid w:val="00315D76"/>
    <w:rsid w:val="00317BEF"/>
    <w:rsid w:val="003216BF"/>
    <w:rsid w:val="00322E71"/>
    <w:rsid w:val="00324336"/>
    <w:rsid w:val="00326B7B"/>
    <w:rsid w:val="0033404F"/>
    <w:rsid w:val="00335637"/>
    <w:rsid w:val="00336DD4"/>
    <w:rsid w:val="00341B74"/>
    <w:rsid w:val="00341EB6"/>
    <w:rsid w:val="0034208C"/>
    <w:rsid w:val="00343CF7"/>
    <w:rsid w:val="00344125"/>
    <w:rsid w:val="00344E0D"/>
    <w:rsid w:val="0035018B"/>
    <w:rsid w:val="0035284E"/>
    <w:rsid w:val="00354241"/>
    <w:rsid w:val="00356B20"/>
    <w:rsid w:val="003611E7"/>
    <w:rsid w:val="0036165E"/>
    <w:rsid w:val="0036654B"/>
    <w:rsid w:val="0037329F"/>
    <w:rsid w:val="00374981"/>
    <w:rsid w:val="003767AF"/>
    <w:rsid w:val="003807B8"/>
    <w:rsid w:val="00380E69"/>
    <w:rsid w:val="00384B3B"/>
    <w:rsid w:val="0039068E"/>
    <w:rsid w:val="00390C74"/>
    <w:rsid w:val="00392E83"/>
    <w:rsid w:val="00395F54"/>
    <w:rsid w:val="00396A80"/>
    <w:rsid w:val="003A4494"/>
    <w:rsid w:val="003A5129"/>
    <w:rsid w:val="003A64DF"/>
    <w:rsid w:val="003B1005"/>
    <w:rsid w:val="003C1FC3"/>
    <w:rsid w:val="003C647A"/>
    <w:rsid w:val="003C6F20"/>
    <w:rsid w:val="003C73A8"/>
    <w:rsid w:val="003C7C28"/>
    <w:rsid w:val="003D12EE"/>
    <w:rsid w:val="003D2C9E"/>
    <w:rsid w:val="003D5D14"/>
    <w:rsid w:val="003E1D76"/>
    <w:rsid w:val="003E6202"/>
    <w:rsid w:val="003E6ADB"/>
    <w:rsid w:val="003E6E71"/>
    <w:rsid w:val="003F27A2"/>
    <w:rsid w:val="003F2B90"/>
    <w:rsid w:val="003F3DF1"/>
    <w:rsid w:val="003F59FA"/>
    <w:rsid w:val="003F6166"/>
    <w:rsid w:val="003F6618"/>
    <w:rsid w:val="00405E20"/>
    <w:rsid w:val="00406965"/>
    <w:rsid w:val="00407676"/>
    <w:rsid w:val="00411B2D"/>
    <w:rsid w:val="004129F0"/>
    <w:rsid w:val="00413F46"/>
    <w:rsid w:val="004146C4"/>
    <w:rsid w:val="0042013A"/>
    <w:rsid w:val="00421C57"/>
    <w:rsid w:val="00422025"/>
    <w:rsid w:val="00423F74"/>
    <w:rsid w:val="00436E87"/>
    <w:rsid w:val="00436F2F"/>
    <w:rsid w:val="00437197"/>
    <w:rsid w:val="00442906"/>
    <w:rsid w:val="00443E47"/>
    <w:rsid w:val="00446046"/>
    <w:rsid w:val="00452A5B"/>
    <w:rsid w:val="00455686"/>
    <w:rsid w:val="0046013A"/>
    <w:rsid w:val="00461071"/>
    <w:rsid w:val="00461671"/>
    <w:rsid w:val="004634B8"/>
    <w:rsid w:val="0046518F"/>
    <w:rsid w:val="004671E5"/>
    <w:rsid w:val="0046771E"/>
    <w:rsid w:val="0047148D"/>
    <w:rsid w:val="0047371B"/>
    <w:rsid w:val="00475718"/>
    <w:rsid w:val="004837DB"/>
    <w:rsid w:val="004921E9"/>
    <w:rsid w:val="004A1110"/>
    <w:rsid w:val="004A13CE"/>
    <w:rsid w:val="004B0021"/>
    <w:rsid w:val="004B7156"/>
    <w:rsid w:val="004B732A"/>
    <w:rsid w:val="004C4713"/>
    <w:rsid w:val="004C4CD2"/>
    <w:rsid w:val="004C4E7D"/>
    <w:rsid w:val="004C5D04"/>
    <w:rsid w:val="004C77D1"/>
    <w:rsid w:val="004D0DE1"/>
    <w:rsid w:val="004D2540"/>
    <w:rsid w:val="004D26B9"/>
    <w:rsid w:val="004D40DF"/>
    <w:rsid w:val="004D4733"/>
    <w:rsid w:val="004D5D3D"/>
    <w:rsid w:val="004D6A0B"/>
    <w:rsid w:val="004E48A6"/>
    <w:rsid w:val="004E4D66"/>
    <w:rsid w:val="004E61C0"/>
    <w:rsid w:val="004E64E5"/>
    <w:rsid w:val="004E788E"/>
    <w:rsid w:val="004F5170"/>
    <w:rsid w:val="00501294"/>
    <w:rsid w:val="00503642"/>
    <w:rsid w:val="00506FE4"/>
    <w:rsid w:val="0051025D"/>
    <w:rsid w:val="00513EBB"/>
    <w:rsid w:val="0051504B"/>
    <w:rsid w:val="005158A1"/>
    <w:rsid w:val="00516CF0"/>
    <w:rsid w:val="005231E0"/>
    <w:rsid w:val="00525F49"/>
    <w:rsid w:val="00526019"/>
    <w:rsid w:val="00530ABA"/>
    <w:rsid w:val="0053162D"/>
    <w:rsid w:val="0053252C"/>
    <w:rsid w:val="00535614"/>
    <w:rsid w:val="00541460"/>
    <w:rsid w:val="0054353A"/>
    <w:rsid w:val="00552ACF"/>
    <w:rsid w:val="0055573A"/>
    <w:rsid w:val="00557C25"/>
    <w:rsid w:val="00562A5F"/>
    <w:rsid w:val="00574055"/>
    <w:rsid w:val="005745DC"/>
    <w:rsid w:val="005766E7"/>
    <w:rsid w:val="00577C32"/>
    <w:rsid w:val="00577ED3"/>
    <w:rsid w:val="0058667A"/>
    <w:rsid w:val="005868DF"/>
    <w:rsid w:val="00586913"/>
    <w:rsid w:val="00590E4E"/>
    <w:rsid w:val="005940A3"/>
    <w:rsid w:val="005974B8"/>
    <w:rsid w:val="005A086D"/>
    <w:rsid w:val="005A249F"/>
    <w:rsid w:val="005A2C1E"/>
    <w:rsid w:val="005B4D36"/>
    <w:rsid w:val="005B58E9"/>
    <w:rsid w:val="005C0469"/>
    <w:rsid w:val="005C1603"/>
    <w:rsid w:val="005C6537"/>
    <w:rsid w:val="005D061E"/>
    <w:rsid w:val="005D1A84"/>
    <w:rsid w:val="005D1B43"/>
    <w:rsid w:val="005E0893"/>
    <w:rsid w:val="005E1839"/>
    <w:rsid w:val="005E446B"/>
    <w:rsid w:val="005E5405"/>
    <w:rsid w:val="005E75F3"/>
    <w:rsid w:val="005F4D98"/>
    <w:rsid w:val="006041AE"/>
    <w:rsid w:val="00604468"/>
    <w:rsid w:val="0061022B"/>
    <w:rsid w:val="00610D4B"/>
    <w:rsid w:val="0061468A"/>
    <w:rsid w:val="0061597B"/>
    <w:rsid w:val="00616A22"/>
    <w:rsid w:val="00622045"/>
    <w:rsid w:val="006224F4"/>
    <w:rsid w:val="00623231"/>
    <w:rsid w:val="00627B09"/>
    <w:rsid w:val="00632CA8"/>
    <w:rsid w:val="00632D19"/>
    <w:rsid w:val="006346FA"/>
    <w:rsid w:val="00636E5E"/>
    <w:rsid w:val="00642324"/>
    <w:rsid w:val="0064370A"/>
    <w:rsid w:val="00643988"/>
    <w:rsid w:val="00645998"/>
    <w:rsid w:val="00650BF3"/>
    <w:rsid w:val="00652A90"/>
    <w:rsid w:val="00653220"/>
    <w:rsid w:val="00655DBA"/>
    <w:rsid w:val="00657A94"/>
    <w:rsid w:val="006656AC"/>
    <w:rsid w:val="006721AA"/>
    <w:rsid w:val="00681FED"/>
    <w:rsid w:val="00682BD4"/>
    <w:rsid w:val="006831BB"/>
    <w:rsid w:val="006847B9"/>
    <w:rsid w:val="00685B78"/>
    <w:rsid w:val="0068782E"/>
    <w:rsid w:val="00690168"/>
    <w:rsid w:val="00691A8A"/>
    <w:rsid w:val="00692AB4"/>
    <w:rsid w:val="00692DA6"/>
    <w:rsid w:val="006954F4"/>
    <w:rsid w:val="006974C4"/>
    <w:rsid w:val="006A56B2"/>
    <w:rsid w:val="006A7C4A"/>
    <w:rsid w:val="006B4D7B"/>
    <w:rsid w:val="006C1DA1"/>
    <w:rsid w:val="006C6A1E"/>
    <w:rsid w:val="006C7206"/>
    <w:rsid w:val="006E073B"/>
    <w:rsid w:val="006E0B58"/>
    <w:rsid w:val="006E2089"/>
    <w:rsid w:val="006E34BD"/>
    <w:rsid w:val="006E36FF"/>
    <w:rsid w:val="006F0AF0"/>
    <w:rsid w:val="006F1541"/>
    <w:rsid w:val="006F2F05"/>
    <w:rsid w:val="006F30AE"/>
    <w:rsid w:val="00701E0E"/>
    <w:rsid w:val="0070202A"/>
    <w:rsid w:val="00702999"/>
    <w:rsid w:val="00710A1A"/>
    <w:rsid w:val="00711578"/>
    <w:rsid w:val="00711D20"/>
    <w:rsid w:val="00720BFB"/>
    <w:rsid w:val="00723483"/>
    <w:rsid w:val="00732F13"/>
    <w:rsid w:val="007340C5"/>
    <w:rsid w:val="00741E1B"/>
    <w:rsid w:val="00742706"/>
    <w:rsid w:val="00747E1C"/>
    <w:rsid w:val="00756B1C"/>
    <w:rsid w:val="007575E9"/>
    <w:rsid w:val="00760260"/>
    <w:rsid w:val="00766B8F"/>
    <w:rsid w:val="0077240D"/>
    <w:rsid w:val="00773281"/>
    <w:rsid w:val="0077634C"/>
    <w:rsid w:val="00777270"/>
    <w:rsid w:val="007776E4"/>
    <w:rsid w:val="00780730"/>
    <w:rsid w:val="00780E7D"/>
    <w:rsid w:val="007824C2"/>
    <w:rsid w:val="00782983"/>
    <w:rsid w:val="0078462C"/>
    <w:rsid w:val="0078764C"/>
    <w:rsid w:val="007902BA"/>
    <w:rsid w:val="00791B9F"/>
    <w:rsid w:val="00791F72"/>
    <w:rsid w:val="0079406D"/>
    <w:rsid w:val="00796C46"/>
    <w:rsid w:val="007A4869"/>
    <w:rsid w:val="007A6277"/>
    <w:rsid w:val="007B3DB2"/>
    <w:rsid w:val="007B7DD6"/>
    <w:rsid w:val="007C61EF"/>
    <w:rsid w:val="007D13F2"/>
    <w:rsid w:val="007D1FDE"/>
    <w:rsid w:val="007D6749"/>
    <w:rsid w:val="007E11B7"/>
    <w:rsid w:val="007F71D0"/>
    <w:rsid w:val="00800D0F"/>
    <w:rsid w:val="008106D0"/>
    <w:rsid w:val="00811ACE"/>
    <w:rsid w:val="008122CA"/>
    <w:rsid w:val="00812706"/>
    <w:rsid w:val="00812833"/>
    <w:rsid w:val="008167FB"/>
    <w:rsid w:val="00823B63"/>
    <w:rsid w:val="00835926"/>
    <w:rsid w:val="00835C90"/>
    <w:rsid w:val="00842F5E"/>
    <w:rsid w:val="00843727"/>
    <w:rsid w:val="008467C6"/>
    <w:rsid w:val="00847AA8"/>
    <w:rsid w:val="00852E17"/>
    <w:rsid w:val="00855462"/>
    <w:rsid w:val="00856361"/>
    <w:rsid w:val="00857C8E"/>
    <w:rsid w:val="008613A4"/>
    <w:rsid w:val="00862672"/>
    <w:rsid w:val="00864731"/>
    <w:rsid w:val="00870297"/>
    <w:rsid w:val="00876555"/>
    <w:rsid w:val="0089092E"/>
    <w:rsid w:val="00892820"/>
    <w:rsid w:val="00893D9C"/>
    <w:rsid w:val="00894597"/>
    <w:rsid w:val="0089649E"/>
    <w:rsid w:val="008A0422"/>
    <w:rsid w:val="008A0713"/>
    <w:rsid w:val="008A4AF0"/>
    <w:rsid w:val="008A4D42"/>
    <w:rsid w:val="008A5632"/>
    <w:rsid w:val="008A5C82"/>
    <w:rsid w:val="008A7CA5"/>
    <w:rsid w:val="008B10A5"/>
    <w:rsid w:val="008C02B4"/>
    <w:rsid w:val="008C4941"/>
    <w:rsid w:val="008C7687"/>
    <w:rsid w:val="008D02C5"/>
    <w:rsid w:val="008E1D86"/>
    <w:rsid w:val="008E2C0C"/>
    <w:rsid w:val="008E5B9C"/>
    <w:rsid w:val="008E6F5E"/>
    <w:rsid w:val="008E7DCF"/>
    <w:rsid w:val="008F46A2"/>
    <w:rsid w:val="008F5476"/>
    <w:rsid w:val="008F7BB9"/>
    <w:rsid w:val="008F7C5E"/>
    <w:rsid w:val="009056DD"/>
    <w:rsid w:val="00907ECA"/>
    <w:rsid w:val="00910BBC"/>
    <w:rsid w:val="009113C4"/>
    <w:rsid w:val="009120BC"/>
    <w:rsid w:val="009142C6"/>
    <w:rsid w:val="0091481F"/>
    <w:rsid w:val="00916D7D"/>
    <w:rsid w:val="009239F8"/>
    <w:rsid w:val="00923F98"/>
    <w:rsid w:val="009265BA"/>
    <w:rsid w:val="00930DEF"/>
    <w:rsid w:val="009338C6"/>
    <w:rsid w:val="00935659"/>
    <w:rsid w:val="00942897"/>
    <w:rsid w:val="00942F27"/>
    <w:rsid w:val="00945EAA"/>
    <w:rsid w:val="00951C5C"/>
    <w:rsid w:val="00953BC7"/>
    <w:rsid w:val="00954849"/>
    <w:rsid w:val="009650C7"/>
    <w:rsid w:val="00965822"/>
    <w:rsid w:val="0096776E"/>
    <w:rsid w:val="00972EE4"/>
    <w:rsid w:val="00975D91"/>
    <w:rsid w:val="009763F7"/>
    <w:rsid w:val="009767FC"/>
    <w:rsid w:val="009769A5"/>
    <w:rsid w:val="00977B8D"/>
    <w:rsid w:val="00980594"/>
    <w:rsid w:val="0098303F"/>
    <w:rsid w:val="00985783"/>
    <w:rsid w:val="00985F61"/>
    <w:rsid w:val="009929DB"/>
    <w:rsid w:val="009A4793"/>
    <w:rsid w:val="009A73C9"/>
    <w:rsid w:val="009B08D3"/>
    <w:rsid w:val="009B38AE"/>
    <w:rsid w:val="009B51B4"/>
    <w:rsid w:val="009C102A"/>
    <w:rsid w:val="009C1CBB"/>
    <w:rsid w:val="009C5E8D"/>
    <w:rsid w:val="009D0385"/>
    <w:rsid w:val="009D3FD9"/>
    <w:rsid w:val="009E01CF"/>
    <w:rsid w:val="009E1EA2"/>
    <w:rsid w:val="009E5B4F"/>
    <w:rsid w:val="009E7A14"/>
    <w:rsid w:val="009F2C78"/>
    <w:rsid w:val="00A00236"/>
    <w:rsid w:val="00A07900"/>
    <w:rsid w:val="00A07F8D"/>
    <w:rsid w:val="00A11D9D"/>
    <w:rsid w:val="00A13738"/>
    <w:rsid w:val="00A20267"/>
    <w:rsid w:val="00A2165D"/>
    <w:rsid w:val="00A21665"/>
    <w:rsid w:val="00A226B0"/>
    <w:rsid w:val="00A248C6"/>
    <w:rsid w:val="00A31A53"/>
    <w:rsid w:val="00A3223A"/>
    <w:rsid w:val="00A36C4F"/>
    <w:rsid w:val="00A423BE"/>
    <w:rsid w:val="00A43729"/>
    <w:rsid w:val="00A45870"/>
    <w:rsid w:val="00A47AFC"/>
    <w:rsid w:val="00A545A6"/>
    <w:rsid w:val="00A55D39"/>
    <w:rsid w:val="00A6041D"/>
    <w:rsid w:val="00A65687"/>
    <w:rsid w:val="00A663A4"/>
    <w:rsid w:val="00A6667B"/>
    <w:rsid w:val="00A729B8"/>
    <w:rsid w:val="00A75643"/>
    <w:rsid w:val="00A7687D"/>
    <w:rsid w:val="00A77AC7"/>
    <w:rsid w:val="00A80AC9"/>
    <w:rsid w:val="00A819C7"/>
    <w:rsid w:val="00A8645B"/>
    <w:rsid w:val="00A86EF1"/>
    <w:rsid w:val="00A92320"/>
    <w:rsid w:val="00A92652"/>
    <w:rsid w:val="00A95088"/>
    <w:rsid w:val="00A9670B"/>
    <w:rsid w:val="00AA04E6"/>
    <w:rsid w:val="00AA5EE3"/>
    <w:rsid w:val="00AB0AC9"/>
    <w:rsid w:val="00AB0D45"/>
    <w:rsid w:val="00AB1130"/>
    <w:rsid w:val="00AB552C"/>
    <w:rsid w:val="00AB62AF"/>
    <w:rsid w:val="00AC04B2"/>
    <w:rsid w:val="00AC734B"/>
    <w:rsid w:val="00AC7670"/>
    <w:rsid w:val="00AC7EC6"/>
    <w:rsid w:val="00AD0CE2"/>
    <w:rsid w:val="00AD0FCB"/>
    <w:rsid w:val="00AD113E"/>
    <w:rsid w:val="00AD21CA"/>
    <w:rsid w:val="00AD3BD1"/>
    <w:rsid w:val="00AD6DDC"/>
    <w:rsid w:val="00AE1A15"/>
    <w:rsid w:val="00AE1F03"/>
    <w:rsid w:val="00AE666E"/>
    <w:rsid w:val="00B00404"/>
    <w:rsid w:val="00B0210A"/>
    <w:rsid w:val="00B0336E"/>
    <w:rsid w:val="00B070BE"/>
    <w:rsid w:val="00B26213"/>
    <w:rsid w:val="00B26835"/>
    <w:rsid w:val="00B27876"/>
    <w:rsid w:val="00B3075A"/>
    <w:rsid w:val="00B328BE"/>
    <w:rsid w:val="00B33298"/>
    <w:rsid w:val="00B36295"/>
    <w:rsid w:val="00B409E3"/>
    <w:rsid w:val="00B4178E"/>
    <w:rsid w:val="00B4493D"/>
    <w:rsid w:val="00B44BDD"/>
    <w:rsid w:val="00B44DFF"/>
    <w:rsid w:val="00B462F4"/>
    <w:rsid w:val="00B46A16"/>
    <w:rsid w:val="00B551C5"/>
    <w:rsid w:val="00B554CA"/>
    <w:rsid w:val="00B55EA7"/>
    <w:rsid w:val="00B5767B"/>
    <w:rsid w:val="00B61167"/>
    <w:rsid w:val="00B61FCB"/>
    <w:rsid w:val="00B62B9A"/>
    <w:rsid w:val="00B63955"/>
    <w:rsid w:val="00B639DF"/>
    <w:rsid w:val="00B6650A"/>
    <w:rsid w:val="00B679CB"/>
    <w:rsid w:val="00B740C9"/>
    <w:rsid w:val="00B8007D"/>
    <w:rsid w:val="00B807AB"/>
    <w:rsid w:val="00B81895"/>
    <w:rsid w:val="00B82988"/>
    <w:rsid w:val="00B8304A"/>
    <w:rsid w:val="00B85BDD"/>
    <w:rsid w:val="00B86A1D"/>
    <w:rsid w:val="00B92EF9"/>
    <w:rsid w:val="00B979E3"/>
    <w:rsid w:val="00BA1D0B"/>
    <w:rsid w:val="00BA3602"/>
    <w:rsid w:val="00BA7520"/>
    <w:rsid w:val="00BA7CE0"/>
    <w:rsid w:val="00BB2BCE"/>
    <w:rsid w:val="00BB4469"/>
    <w:rsid w:val="00BB580A"/>
    <w:rsid w:val="00BB5B3B"/>
    <w:rsid w:val="00BC155E"/>
    <w:rsid w:val="00BC3833"/>
    <w:rsid w:val="00BC5BA0"/>
    <w:rsid w:val="00BD028C"/>
    <w:rsid w:val="00BE0721"/>
    <w:rsid w:val="00BE1ACD"/>
    <w:rsid w:val="00BE4F76"/>
    <w:rsid w:val="00BF4C01"/>
    <w:rsid w:val="00BF51BA"/>
    <w:rsid w:val="00C00738"/>
    <w:rsid w:val="00C02E95"/>
    <w:rsid w:val="00C02FF0"/>
    <w:rsid w:val="00C10D3C"/>
    <w:rsid w:val="00C14B0B"/>
    <w:rsid w:val="00C2049B"/>
    <w:rsid w:val="00C20A68"/>
    <w:rsid w:val="00C2125B"/>
    <w:rsid w:val="00C27139"/>
    <w:rsid w:val="00C2796A"/>
    <w:rsid w:val="00C37189"/>
    <w:rsid w:val="00C43494"/>
    <w:rsid w:val="00C45841"/>
    <w:rsid w:val="00C56B1F"/>
    <w:rsid w:val="00C627C3"/>
    <w:rsid w:val="00C62A2F"/>
    <w:rsid w:val="00C62E09"/>
    <w:rsid w:val="00C67AA0"/>
    <w:rsid w:val="00C71BFF"/>
    <w:rsid w:val="00C72963"/>
    <w:rsid w:val="00C76901"/>
    <w:rsid w:val="00C77020"/>
    <w:rsid w:val="00C818F2"/>
    <w:rsid w:val="00C82797"/>
    <w:rsid w:val="00C90A82"/>
    <w:rsid w:val="00C97349"/>
    <w:rsid w:val="00CA05F6"/>
    <w:rsid w:val="00CA3274"/>
    <w:rsid w:val="00CB45B7"/>
    <w:rsid w:val="00CC1E27"/>
    <w:rsid w:val="00CC5E4B"/>
    <w:rsid w:val="00CD2782"/>
    <w:rsid w:val="00CD27CB"/>
    <w:rsid w:val="00CD358C"/>
    <w:rsid w:val="00CD4100"/>
    <w:rsid w:val="00CD5079"/>
    <w:rsid w:val="00CD7509"/>
    <w:rsid w:val="00CE40FC"/>
    <w:rsid w:val="00CE65BD"/>
    <w:rsid w:val="00CE71BA"/>
    <w:rsid w:val="00CF285E"/>
    <w:rsid w:val="00CF4AA9"/>
    <w:rsid w:val="00CF51EC"/>
    <w:rsid w:val="00D0354E"/>
    <w:rsid w:val="00D036C0"/>
    <w:rsid w:val="00D1015E"/>
    <w:rsid w:val="00D1176C"/>
    <w:rsid w:val="00D170D8"/>
    <w:rsid w:val="00D2113A"/>
    <w:rsid w:val="00D2229D"/>
    <w:rsid w:val="00D2453D"/>
    <w:rsid w:val="00D314B5"/>
    <w:rsid w:val="00D31914"/>
    <w:rsid w:val="00D32270"/>
    <w:rsid w:val="00D327AC"/>
    <w:rsid w:val="00D32946"/>
    <w:rsid w:val="00D52A37"/>
    <w:rsid w:val="00D5463D"/>
    <w:rsid w:val="00D57BF5"/>
    <w:rsid w:val="00D7015F"/>
    <w:rsid w:val="00D768A6"/>
    <w:rsid w:val="00D7793E"/>
    <w:rsid w:val="00D81F9C"/>
    <w:rsid w:val="00D83D42"/>
    <w:rsid w:val="00D86A3A"/>
    <w:rsid w:val="00D93252"/>
    <w:rsid w:val="00D94165"/>
    <w:rsid w:val="00D95558"/>
    <w:rsid w:val="00DA1FF7"/>
    <w:rsid w:val="00DA2982"/>
    <w:rsid w:val="00DA4582"/>
    <w:rsid w:val="00DA781D"/>
    <w:rsid w:val="00DB4180"/>
    <w:rsid w:val="00DB6843"/>
    <w:rsid w:val="00DC378B"/>
    <w:rsid w:val="00DC5A83"/>
    <w:rsid w:val="00DD1382"/>
    <w:rsid w:val="00DD28E4"/>
    <w:rsid w:val="00DD4396"/>
    <w:rsid w:val="00DD5B8C"/>
    <w:rsid w:val="00DE17C3"/>
    <w:rsid w:val="00DF19F4"/>
    <w:rsid w:val="00DF250D"/>
    <w:rsid w:val="00DF52FC"/>
    <w:rsid w:val="00DF6F91"/>
    <w:rsid w:val="00DF7B6D"/>
    <w:rsid w:val="00E0046F"/>
    <w:rsid w:val="00E05E04"/>
    <w:rsid w:val="00E07BC9"/>
    <w:rsid w:val="00E118CE"/>
    <w:rsid w:val="00E15564"/>
    <w:rsid w:val="00E172BE"/>
    <w:rsid w:val="00E26564"/>
    <w:rsid w:val="00E26696"/>
    <w:rsid w:val="00E4483C"/>
    <w:rsid w:val="00E5046D"/>
    <w:rsid w:val="00E51136"/>
    <w:rsid w:val="00E521AD"/>
    <w:rsid w:val="00E54AE4"/>
    <w:rsid w:val="00E563D5"/>
    <w:rsid w:val="00E61459"/>
    <w:rsid w:val="00E61658"/>
    <w:rsid w:val="00E73ED9"/>
    <w:rsid w:val="00E744BD"/>
    <w:rsid w:val="00E74A3F"/>
    <w:rsid w:val="00E80EC7"/>
    <w:rsid w:val="00E8214B"/>
    <w:rsid w:val="00E84DA8"/>
    <w:rsid w:val="00E94EEA"/>
    <w:rsid w:val="00E9664D"/>
    <w:rsid w:val="00E96E2D"/>
    <w:rsid w:val="00EA6441"/>
    <w:rsid w:val="00EB07A2"/>
    <w:rsid w:val="00EB2197"/>
    <w:rsid w:val="00EB364B"/>
    <w:rsid w:val="00EB40AC"/>
    <w:rsid w:val="00EB51AC"/>
    <w:rsid w:val="00EC1076"/>
    <w:rsid w:val="00EC48ED"/>
    <w:rsid w:val="00EC6816"/>
    <w:rsid w:val="00ED2F68"/>
    <w:rsid w:val="00ED50A8"/>
    <w:rsid w:val="00ED50C9"/>
    <w:rsid w:val="00EE18DF"/>
    <w:rsid w:val="00EE25B2"/>
    <w:rsid w:val="00EF1529"/>
    <w:rsid w:val="00EF2DA7"/>
    <w:rsid w:val="00EF5750"/>
    <w:rsid w:val="00EF62F4"/>
    <w:rsid w:val="00F0017A"/>
    <w:rsid w:val="00F02546"/>
    <w:rsid w:val="00F02CD1"/>
    <w:rsid w:val="00F064BA"/>
    <w:rsid w:val="00F06C27"/>
    <w:rsid w:val="00F101E0"/>
    <w:rsid w:val="00F12001"/>
    <w:rsid w:val="00F15125"/>
    <w:rsid w:val="00F15945"/>
    <w:rsid w:val="00F165F9"/>
    <w:rsid w:val="00F16E6F"/>
    <w:rsid w:val="00F170C3"/>
    <w:rsid w:val="00F2023D"/>
    <w:rsid w:val="00F239CF"/>
    <w:rsid w:val="00F24C40"/>
    <w:rsid w:val="00F27A8E"/>
    <w:rsid w:val="00F30F1B"/>
    <w:rsid w:val="00F352CD"/>
    <w:rsid w:val="00F36D9E"/>
    <w:rsid w:val="00F41B0E"/>
    <w:rsid w:val="00F447FC"/>
    <w:rsid w:val="00F451CE"/>
    <w:rsid w:val="00F5082F"/>
    <w:rsid w:val="00F519C4"/>
    <w:rsid w:val="00F55B4B"/>
    <w:rsid w:val="00F56557"/>
    <w:rsid w:val="00F6551D"/>
    <w:rsid w:val="00F662C6"/>
    <w:rsid w:val="00F73FAC"/>
    <w:rsid w:val="00F80064"/>
    <w:rsid w:val="00F952AE"/>
    <w:rsid w:val="00F9794F"/>
    <w:rsid w:val="00FA2298"/>
    <w:rsid w:val="00FA2C83"/>
    <w:rsid w:val="00FA568E"/>
    <w:rsid w:val="00FA7A38"/>
    <w:rsid w:val="00FB4F78"/>
    <w:rsid w:val="00FB534C"/>
    <w:rsid w:val="00FC23EB"/>
    <w:rsid w:val="00FC26AE"/>
    <w:rsid w:val="00FC6E3E"/>
    <w:rsid w:val="00FD1B1C"/>
    <w:rsid w:val="00FD232C"/>
    <w:rsid w:val="00FD6498"/>
    <w:rsid w:val="00FE1A04"/>
    <w:rsid w:val="00FE1D2A"/>
    <w:rsid w:val="00FE4005"/>
    <w:rsid w:val="00FE6966"/>
    <w:rsid w:val="00FE6B33"/>
    <w:rsid w:val="00FE6F82"/>
    <w:rsid w:val="00FF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02901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951C4"/>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A7687D"/>
    <w:rPr>
      <w:rFonts w:ascii="Helvetica" w:hAnsi="Helvetica"/>
      <w:sz w:val="17"/>
      <w:szCs w:val="17"/>
    </w:rPr>
  </w:style>
  <w:style w:type="character" w:styleId="a4">
    <w:name w:val="Hyperlink"/>
    <w:basedOn w:val="a0"/>
    <w:uiPriority w:val="99"/>
    <w:unhideWhenUsed/>
    <w:rsid w:val="00FA2298"/>
    <w:rPr>
      <w:color w:val="0000FF" w:themeColor="hyperlink"/>
      <w:u w:val="single"/>
    </w:rPr>
  </w:style>
  <w:style w:type="paragraph" w:styleId="a5">
    <w:name w:val="List Paragraph"/>
    <w:basedOn w:val="a"/>
    <w:uiPriority w:val="34"/>
    <w:qFormat/>
    <w:rsid w:val="00525F49"/>
    <w:pPr>
      <w:ind w:leftChars="400" w:left="960"/>
    </w:pPr>
  </w:style>
  <w:style w:type="paragraph" w:styleId="a6">
    <w:name w:val="header"/>
    <w:basedOn w:val="a"/>
    <w:link w:val="a7"/>
    <w:uiPriority w:val="99"/>
    <w:unhideWhenUsed/>
    <w:rsid w:val="003767AF"/>
    <w:pPr>
      <w:tabs>
        <w:tab w:val="center" w:pos="4252"/>
        <w:tab w:val="right" w:pos="8504"/>
      </w:tabs>
      <w:snapToGrid w:val="0"/>
    </w:pPr>
  </w:style>
  <w:style w:type="character" w:customStyle="1" w:styleId="a7">
    <w:name w:val="ヘッダー (文字)"/>
    <w:basedOn w:val="a0"/>
    <w:link w:val="a6"/>
    <w:uiPriority w:val="99"/>
    <w:rsid w:val="003767AF"/>
    <w:rPr>
      <w:rFonts w:ascii="Times New Roman" w:hAnsi="Times New Roman" w:cs="Times New Roman"/>
      <w:kern w:val="0"/>
    </w:rPr>
  </w:style>
  <w:style w:type="paragraph" w:styleId="a8">
    <w:name w:val="footer"/>
    <w:basedOn w:val="a"/>
    <w:link w:val="a9"/>
    <w:uiPriority w:val="99"/>
    <w:unhideWhenUsed/>
    <w:rsid w:val="003767AF"/>
    <w:pPr>
      <w:tabs>
        <w:tab w:val="center" w:pos="4252"/>
        <w:tab w:val="right" w:pos="8504"/>
      </w:tabs>
      <w:snapToGrid w:val="0"/>
    </w:pPr>
  </w:style>
  <w:style w:type="character" w:customStyle="1" w:styleId="a9">
    <w:name w:val="フッター (文字)"/>
    <w:basedOn w:val="a0"/>
    <w:link w:val="a8"/>
    <w:uiPriority w:val="99"/>
    <w:rsid w:val="003767AF"/>
    <w:rPr>
      <w:rFonts w:ascii="Times New Roman" w:hAnsi="Times New Roman" w:cs="Times New Roman"/>
      <w:kern w:val="0"/>
    </w:rPr>
  </w:style>
  <w:style w:type="character" w:styleId="aa">
    <w:name w:val="page number"/>
    <w:basedOn w:val="a0"/>
    <w:uiPriority w:val="99"/>
    <w:semiHidden/>
    <w:unhideWhenUsed/>
    <w:rsid w:val="003767AF"/>
  </w:style>
  <w:style w:type="paragraph" w:styleId="ab">
    <w:name w:val="Document Map"/>
    <w:basedOn w:val="a"/>
    <w:link w:val="ac"/>
    <w:uiPriority w:val="99"/>
    <w:semiHidden/>
    <w:unhideWhenUsed/>
    <w:rsid w:val="00A65687"/>
    <w:rPr>
      <w:rFonts w:ascii="ＭＳ 明朝" w:eastAsia="ＭＳ 明朝"/>
    </w:rPr>
  </w:style>
  <w:style w:type="character" w:customStyle="1" w:styleId="ac">
    <w:name w:val="見出しマップ (文字)"/>
    <w:basedOn w:val="a0"/>
    <w:link w:val="ab"/>
    <w:uiPriority w:val="99"/>
    <w:semiHidden/>
    <w:rsid w:val="00A65687"/>
    <w:rPr>
      <w:rFonts w:ascii="ＭＳ 明朝" w:eastAsia="ＭＳ 明朝" w:hAnsi="Times New Roman" w:cs="Times New Roman"/>
      <w:kern w:val="0"/>
    </w:rPr>
  </w:style>
  <w:style w:type="character" w:styleId="ad">
    <w:name w:val="Unresolved Mention"/>
    <w:basedOn w:val="a0"/>
    <w:uiPriority w:val="99"/>
    <w:rsid w:val="00AD21CA"/>
    <w:rPr>
      <w:color w:val="605E5C"/>
      <w:shd w:val="clear" w:color="auto" w:fill="E1DFDD"/>
    </w:rPr>
  </w:style>
  <w:style w:type="character" w:styleId="ae">
    <w:name w:val="FollowedHyperlink"/>
    <w:basedOn w:val="a0"/>
    <w:uiPriority w:val="99"/>
    <w:semiHidden/>
    <w:unhideWhenUsed/>
    <w:rsid w:val="00AD21CA"/>
    <w:rPr>
      <w:color w:val="800080" w:themeColor="followedHyperlink"/>
      <w:u w:val="single"/>
    </w:rPr>
  </w:style>
  <w:style w:type="paragraph" w:styleId="af">
    <w:name w:val="Balloon Text"/>
    <w:basedOn w:val="a"/>
    <w:link w:val="af0"/>
    <w:uiPriority w:val="99"/>
    <w:semiHidden/>
    <w:unhideWhenUsed/>
    <w:rsid w:val="00A55D39"/>
    <w:rPr>
      <w:rFonts w:ascii="ＭＳ 明朝" w:eastAsia="ＭＳ 明朝"/>
      <w:sz w:val="18"/>
      <w:szCs w:val="18"/>
    </w:rPr>
  </w:style>
  <w:style w:type="character" w:customStyle="1" w:styleId="af0">
    <w:name w:val="吹き出し (文字)"/>
    <w:basedOn w:val="a0"/>
    <w:link w:val="af"/>
    <w:uiPriority w:val="99"/>
    <w:semiHidden/>
    <w:rsid w:val="00A55D39"/>
    <w:rPr>
      <w:rFonts w:ascii="ＭＳ 明朝" w:eastAsia="ＭＳ 明朝" w:hAnsi="Times New Roman" w:cs="Times New Roman"/>
      <w:kern w:val="0"/>
      <w:sz w:val="18"/>
      <w:szCs w:val="18"/>
    </w:rPr>
  </w:style>
  <w:style w:type="character" w:styleId="af1">
    <w:name w:val="annotation reference"/>
    <w:basedOn w:val="a0"/>
    <w:uiPriority w:val="99"/>
    <w:semiHidden/>
    <w:unhideWhenUsed/>
    <w:rsid w:val="00E8214B"/>
    <w:rPr>
      <w:sz w:val="18"/>
      <w:szCs w:val="18"/>
    </w:rPr>
  </w:style>
  <w:style w:type="paragraph" w:styleId="af2">
    <w:name w:val="annotation text"/>
    <w:basedOn w:val="a"/>
    <w:link w:val="af3"/>
    <w:uiPriority w:val="99"/>
    <w:semiHidden/>
    <w:unhideWhenUsed/>
    <w:rsid w:val="00E8214B"/>
  </w:style>
  <w:style w:type="character" w:customStyle="1" w:styleId="af3">
    <w:name w:val="コメント文字列 (文字)"/>
    <w:basedOn w:val="a0"/>
    <w:link w:val="af2"/>
    <w:uiPriority w:val="99"/>
    <w:semiHidden/>
    <w:rsid w:val="00E8214B"/>
    <w:rPr>
      <w:rFonts w:ascii="Times New Roman" w:hAnsi="Times New Roman" w:cs="Times New Roman"/>
      <w:kern w:val="0"/>
    </w:rPr>
  </w:style>
  <w:style w:type="paragraph" w:styleId="af4">
    <w:name w:val="annotation subject"/>
    <w:basedOn w:val="af2"/>
    <w:next w:val="af2"/>
    <w:link w:val="af5"/>
    <w:uiPriority w:val="99"/>
    <w:semiHidden/>
    <w:unhideWhenUsed/>
    <w:rsid w:val="00E8214B"/>
    <w:rPr>
      <w:b/>
      <w:bCs/>
    </w:rPr>
  </w:style>
  <w:style w:type="character" w:customStyle="1" w:styleId="af5">
    <w:name w:val="コメント内容 (文字)"/>
    <w:basedOn w:val="af3"/>
    <w:link w:val="af4"/>
    <w:uiPriority w:val="99"/>
    <w:semiHidden/>
    <w:rsid w:val="00E8214B"/>
    <w:rPr>
      <w:rFonts w:ascii="Times New Roman" w:hAnsi="Times New Roman" w:cs="Times New Roman"/>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8254">
      <w:bodyDiv w:val="1"/>
      <w:marLeft w:val="0"/>
      <w:marRight w:val="0"/>
      <w:marTop w:val="0"/>
      <w:marBottom w:val="0"/>
      <w:divBdr>
        <w:top w:val="none" w:sz="0" w:space="0" w:color="auto"/>
        <w:left w:val="none" w:sz="0" w:space="0" w:color="auto"/>
        <w:bottom w:val="none" w:sz="0" w:space="0" w:color="auto"/>
        <w:right w:val="none" w:sz="0" w:space="0" w:color="auto"/>
      </w:divBdr>
    </w:div>
    <w:div w:id="85687533">
      <w:bodyDiv w:val="1"/>
      <w:marLeft w:val="0"/>
      <w:marRight w:val="0"/>
      <w:marTop w:val="0"/>
      <w:marBottom w:val="0"/>
      <w:divBdr>
        <w:top w:val="none" w:sz="0" w:space="0" w:color="auto"/>
        <w:left w:val="none" w:sz="0" w:space="0" w:color="auto"/>
        <w:bottom w:val="none" w:sz="0" w:space="0" w:color="auto"/>
        <w:right w:val="none" w:sz="0" w:space="0" w:color="auto"/>
      </w:divBdr>
      <w:divsChild>
        <w:div w:id="1734768488">
          <w:marLeft w:val="0"/>
          <w:marRight w:val="0"/>
          <w:marTop w:val="0"/>
          <w:marBottom w:val="0"/>
          <w:divBdr>
            <w:top w:val="none" w:sz="0" w:space="0" w:color="auto"/>
            <w:left w:val="none" w:sz="0" w:space="0" w:color="auto"/>
            <w:bottom w:val="none" w:sz="0" w:space="0" w:color="auto"/>
            <w:right w:val="none" w:sz="0" w:space="0" w:color="auto"/>
          </w:divBdr>
          <w:divsChild>
            <w:div w:id="729116269">
              <w:marLeft w:val="0"/>
              <w:marRight w:val="0"/>
              <w:marTop w:val="0"/>
              <w:marBottom w:val="0"/>
              <w:divBdr>
                <w:top w:val="none" w:sz="0" w:space="0" w:color="auto"/>
                <w:left w:val="none" w:sz="0" w:space="0" w:color="auto"/>
                <w:bottom w:val="none" w:sz="0" w:space="0" w:color="auto"/>
                <w:right w:val="none" w:sz="0" w:space="0" w:color="auto"/>
              </w:divBdr>
              <w:divsChild>
                <w:div w:id="1360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7281">
      <w:bodyDiv w:val="1"/>
      <w:marLeft w:val="0"/>
      <w:marRight w:val="0"/>
      <w:marTop w:val="0"/>
      <w:marBottom w:val="0"/>
      <w:divBdr>
        <w:top w:val="none" w:sz="0" w:space="0" w:color="auto"/>
        <w:left w:val="none" w:sz="0" w:space="0" w:color="auto"/>
        <w:bottom w:val="none" w:sz="0" w:space="0" w:color="auto"/>
        <w:right w:val="none" w:sz="0" w:space="0" w:color="auto"/>
      </w:divBdr>
    </w:div>
    <w:div w:id="133910600">
      <w:bodyDiv w:val="1"/>
      <w:marLeft w:val="0"/>
      <w:marRight w:val="0"/>
      <w:marTop w:val="0"/>
      <w:marBottom w:val="0"/>
      <w:divBdr>
        <w:top w:val="none" w:sz="0" w:space="0" w:color="auto"/>
        <w:left w:val="none" w:sz="0" w:space="0" w:color="auto"/>
        <w:bottom w:val="none" w:sz="0" w:space="0" w:color="auto"/>
        <w:right w:val="none" w:sz="0" w:space="0" w:color="auto"/>
      </w:divBdr>
    </w:div>
    <w:div w:id="144397062">
      <w:bodyDiv w:val="1"/>
      <w:marLeft w:val="0"/>
      <w:marRight w:val="0"/>
      <w:marTop w:val="0"/>
      <w:marBottom w:val="0"/>
      <w:divBdr>
        <w:top w:val="none" w:sz="0" w:space="0" w:color="auto"/>
        <w:left w:val="none" w:sz="0" w:space="0" w:color="auto"/>
        <w:bottom w:val="none" w:sz="0" w:space="0" w:color="auto"/>
        <w:right w:val="none" w:sz="0" w:space="0" w:color="auto"/>
      </w:divBdr>
    </w:div>
    <w:div w:id="229312579">
      <w:bodyDiv w:val="1"/>
      <w:marLeft w:val="0"/>
      <w:marRight w:val="0"/>
      <w:marTop w:val="0"/>
      <w:marBottom w:val="0"/>
      <w:divBdr>
        <w:top w:val="none" w:sz="0" w:space="0" w:color="auto"/>
        <w:left w:val="none" w:sz="0" w:space="0" w:color="auto"/>
        <w:bottom w:val="none" w:sz="0" w:space="0" w:color="auto"/>
        <w:right w:val="none" w:sz="0" w:space="0" w:color="auto"/>
      </w:divBdr>
    </w:div>
    <w:div w:id="256837131">
      <w:bodyDiv w:val="1"/>
      <w:marLeft w:val="0"/>
      <w:marRight w:val="0"/>
      <w:marTop w:val="0"/>
      <w:marBottom w:val="0"/>
      <w:divBdr>
        <w:top w:val="none" w:sz="0" w:space="0" w:color="auto"/>
        <w:left w:val="none" w:sz="0" w:space="0" w:color="auto"/>
        <w:bottom w:val="none" w:sz="0" w:space="0" w:color="auto"/>
        <w:right w:val="none" w:sz="0" w:space="0" w:color="auto"/>
      </w:divBdr>
    </w:div>
    <w:div w:id="312220055">
      <w:bodyDiv w:val="1"/>
      <w:marLeft w:val="0"/>
      <w:marRight w:val="0"/>
      <w:marTop w:val="0"/>
      <w:marBottom w:val="0"/>
      <w:divBdr>
        <w:top w:val="none" w:sz="0" w:space="0" w:color="auto"/>
        <w:left w:val="none" w:sz="0" w:space="0" w:color="auto"/>
        <w:bottom w:val="none" w:sz="0" w:space="0" w:color="auto"/>
        <w:right w:val="none" w:sz="0" w:space="0" w:color="auto"/>
      </w:divBdr>
    </w:div>
    <w:div w:id="382681897">
      <w:bodyDiv w:val="1"/>
      <w:marLeft w:val="0"/>
      <w:marRight w:val="0"/>
      <w:marTop w:val="0"/>
      <w:marBottom w:val="0"/>
      <w:divBdr>
        <w:top w:val="none" w:sz="0" w:space="0" w:color="auto"/>
        <w:left w:val="none" w:sz="0" w:space="0" w:color="auto"/>
        <w:bottom w:val="none" w:sz="0" w:space="0" w:color="auto"/>
        <w:right w:val="none" w:sz="0" w:space="0" w:color="auto"/>
      </w:divBdr>
    </w:div>
    <w:div w:id="439227830">
      <w:bodyDiv w:val="1"/>
      <w:marLeft w:val="0"/>
      <w:marRight w:val="0"/>
      <w:marTop w:val="0"/>
      <w:marBottom w:val="0"/>
      <w:divBdr>
        <w:top w:val="none" w:sz="0" w:space="0" w:color="auto"/>
        <w:left w:val="none" w:sz="0" w:space="0" w:color="auto"/>
        <w:bottom w:val="none" w:sz="0" w:space="0" w:color="auto"/>
        <w:right w:val="none" w:sz="0" w:space="0" w:color="auto"/>
      </w:divBdr>
    </w:div>
    <w:div w:id="461047509">
      <w:bodyDiv w:val="1"/>
      <w:marLeft w:val="0"/>
      <w:marRight w:val="0"/>
      <w:marTop w:val="0"/>
      <w:marBottom w:val="0"/>
      <w:divBdr>
        <w:top w:val="none" w:sz="0" w:space="0" w:color="auto"/>
        <w:left w:val="none" w:sz="0" w:space="0" w:color="auto"/>
        <w:bottom w:val="none" w:sz="0" w:space="0" w:color="auto"/>
        <w:right w:val="none" w:sz="0" w:space="0" w:color="auto"/>
      </w:divBdr>
    </w:div>
    <w:div w:id="470025776">
      <w:bodyDiv w:val="1"/>
      <w:marLeft w:val="0"/>
      <w:marRight w:val="0"/>
      <w:marTop w:val="0"/>
      <w:marBottom w:val="0"/>
      <w:divBdr>
        <w:top w:val="none" w:sz="0" w:space="0" w:color="auto"/>
        <w:left w:val="none" w:sz="0" w:space="0" w:color="auto"/>
        <w:bottom w:val="none" w:sz="0" w:space="0" w:color="auto"/>
        <w:right w:val="none" w:sz="0" w:space="0" w:color="auto"/>
      </w:divBdr>
      <w:divsChild>
        <w:div w:id="982003286">
          <w:marLeft w:val="0"/>
          <w:marRight w:val="0"/>
          <w:marTop w:val="0"/>
          <w:marBottom w:val="0"/>
          <w:divBdr>
            <w:top w:val="none" w:sz="0" w:space="0" w:color="auto"/>
            <w:left w:val="none" w:sz="0" w:space="0" w:color="auto"/>
            <w:bottom w:val="none" w:sz="0" w:space="0" w:color="auto"/>
            <w:right w:val="none" w:sz="0" w:space="0" w:color="auto"/>
          </w:divBdr>
          <w:divsChild>
            <w:div w:id="181625100">
              <w:marLeft w:val="0"/>
              <w:marRight w:val="0"/>
              <w:marTop w:val="0"/>
              <w:marBottom w:val="0"/>
              <w:divBdr>
                <w:top w:val="none" w:sz="0" w:space="0" w:color="auto"/>
                <w:left w:val="none" w:sz="0" w:space="0" w:color="auto"/>
                <w:bottom w:val="none" w:sz="0" w:space="0" w:color="auto"/>
                <w:right w:val="none" w:sz="0" w:space="0" w:color="auto"/>
              </w:divBdr>
              <w:divsChild>
                <w:div w:id="4259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28436">
      <w:bodyDiv w:val="1"/>
      <w:marLeft w:val="0"/>
      <w:marRight w:val="0"/>
      <w:marTop w:val="0"/>
      <w:marBottom w:val="0"/>
      <w:divBdr>
        <w:top w:val="none" w:sz="0" w:space="0" w:color="auto"/>
        <w:left w:val="none" w:sz="0" w:space="0" w:color="auto"/>
        <w:bottom w:val="none" w:sz="0" w:space="0" w:color="auto"/>
        <w:right w:val="none" w:sz="0" w:space="0" w:color="auto"/>
      </w:divBdr>
      <w:divsChild>
        <w:div w:id="1545367988">
          <w:marLeft w:val="0"/>
          <w:marRight w:val="0"/>
          <w:marTop w:val="0"/>
          <w:marBottom w:val="0"/>
          <w:divBdr>
            <w:top w:val="none" w:sz="0" w:space="0" w:color="auto"/>
            <w:left w:val="none" w:sz="0" w:space="0" w:color="auto"/>
            <w:bottom w:val="none" w:sz="0" w:space="0" w:color="auto"/>
            <w:right w:val="none" w:sz="0" w:space="0" w:color="auto"/>
          </w:divBdr>
          <w:divsChild>
            <w:div w:id="1868639027">
              <w:marLeft w:val="0"/>
              <w:marRight w:val="0"/>
              <w:marTop w:val="0"/>
              <w:marBottom w:val="0"/>
              <w:divBdr>
                <w:top w:val="none" w:sz="0" w:space="0" w:color="auto"/>
                <w:left w:val="none" w:sz="0" w:space="0" w:color="auto"/>
                <w:bottom w:val="none" w:sz="0" w:space="0" w:color="auto"/>
                <w:right w:val="none" w:sz="0" w:space="0" w:color="auto"/>
              </w:divBdr>
              <w:divsChild>
                <w:div w:id="1426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7138">
      <w:bodyDiv w:val="1"/>
      <w:marLeft w:val="0"/>
      <w:marRight w:val="0"/>
      <w:marTop w:val="0"/>
      <w:marBottom w:val="0"/>
      <w:divBdr>
        <w:top w:val="none" w:sz="0" w:space="0" w:color="auto"/>
        <w:left w:val="none" w:sz="0" w:space="0" w:color="auto"/>
        <w:bottom w:val="none" w:sz="0" w:space="0" w:color="auto"/>
        <w:right w:val="none" w:sz="0" w:space="0" w:color="auto"/>
      </w:divBdr>
    </w:div>
    <w:div w:id="537471624">
      <w:bodyDiv w:val="1"/>
      <w:marLeft w:val="0"/>
      <w:marRight w:val="0"/>
      <w:marTop w:val="0"/>
      <w:marBottom w:val="0"/>
      <w:divBdr>
        <w:top w:val="none" w:sz="0" w:space="0" w:color="auto"/>
        <w:left w:val="none" w:sz="0" w:space="0" w:color="auto"/>
        <w:bottom w:val="none" w:sz="0" w:space="0" w:color="auto"/>
        <w:right w:val="none" w:sz="0" w:space="0" w:color="auto"/>
      </w:divBdr>
    </w:div>
    <w:div w:id="564604857">
      <w:bodyDiv w:val="1"/>
      <w:marLeft w:val="0"/>
      <w:marRight w:val="0"/>
      <w:marTop w:val="0"/>
      <w:marBottom w:val="0"/>
      <w:divBdr>
        <w:top w:val="none" w:sz="0" w:space="0" w:color="auto"/>
        <w:left w:val="none" w:sz="0" w:space="0" w:color="auto"/>
        <w:bottom w:val="none" w:sz="0" w:space="0" w:color="auto"/>
        <w:right w:val="none" w:sz="0" w:space="0" w:color="auto"/>
      </w:divBdr>
    </w:div>
    <w:div w:id="645671043">
      <w:bodyDiv w:val="1"/>
      <w:marLeft w:val="0"/>
      <w:marRight w:val="0"/>
      <w:marTop w:val="0"/>
      <w:marBottom w:val="0"/>
      <w:divBdr>
        <w:top w:val="none" w:sz="0" w:space="0" w:color="auto"/>
        <w:left w:val="none" w:sz="0" w:space="0" w:color="auto"/>
        <w:bottom w:val="none" w:sz="0" w:space="0" w:color="auto"/>
        <w:right w:val="none" w:sz="0" w:space="0" w:color="auto"/>
      </w:divBdr>
    </w:div>
    <w:div w:id="679042998">
      <w:bodyDiv w:val="1"/>
      <w:marLeft w:val="0"/>
      <w:marRight w:val="0"/>
      <w:marTop w:val="0"/>
      <w:marBottom w:val="0"/>
      <w:divBdr>
        <w:top w:val="none" w:sz="0" w:space="0" w:color="auto"/>
        <w:left w:val="none" w:sz="0" w:space="0" w:color="auto"/>
        <w:bottom w:val="none" w:sz="0" w:space="0" w:color="auto"/>
        <w:right w:val="none" w:sz="0" w:space="0" w:color="auto"/>
      </w:divBdr>
    </w:div>
    <w:div w:id="713428305">
      <w:bodyDiv w:val="1"/>
      <w:marLeft w:val="0"/>
      <w:marRight w:val="0"/>
      <w:marTop w:val="0"/>
      <w:marBottom w:val="0"/>
      <w:divBdr>
        <w:top w:val="none" w:sz="0" w:space="0" w:color="auto"/>
        <w:left w:val="none" w:sz="0" w:space="0" w:color="auto"/>
        <w:bottom w:val="none" w:sz="0" w:space="0" w:color="auto"/>
        <w:right w:val="none" w:sz="0" w:space="0" w:color="auto"/>
      </w:divBdr>
    </w:div>
    <w:div w:id="789588026">
      <w:bodyDiv w:val="1"/>
      <w:marLeft w:val="0"/>
      <w:marRight w:val="0"/>
      <w:marTop w:val="0"/>
      <w:marBottom w:val="0"/>
      <w:divBdr>
        <w:top w:val="none" w:sz="0" w:space="0" w:color="auto"/>
        <w:left w:val="none" w:sz="0" w:space="0" w:color="auto"/>
        <w:bottom w:val="none" w:sz="0" w:space="0" w:color="auto"/>
        <w:right w:val="none" w:sz="0" w:space="0" w:color="auto"/>
      </w:divBdr>
    </w:div>
    <w:div w:id="790365790">
      <w:bodyDiv w:val="1"/>
      <w:marLeft w:val="0"/>
      <w:marRight w:val="0"/>
      <w:marTop w:val="0"/>
      <w:marBottom w:val="0"/>
      <w:divBdr>
        <w:top w:val="none" w:sz="0" w:space="0" w:color="auto"/>
        <w:left w:val="none" w:sz="0" w:space="0" w:color="auto"/>
        <w:bottom w:val="none" w:sz="0" w:space="0" w:color="auto"/>
        <w:right w:val="none" w:sz="0" w:space="0" w:color="auto"/>
      </w:divBdr>
    </w:div>
    <w:div w:id="824904571">
      <w:bodyDiv w:val="1"/>
      <w:marLeft w:val="0"/>
      <w:marRight w:val="0"/>
      <w:marTop w:val="0"/>
      <w:marBottom w:val="0"/>
      <w:divBdr>
        <w:top w:val="none" w:sz="0" w:space="0" w:color="auto"/>
        <w:left w:val="none" w:sz="0" w:space="0" w:color="auto"/>
        <w:bottom w:val="none" w:sz="0" w:space="0" w:color="auto"/>
        <w:right w:val="none" w:sz="0" w:space="0" w:color="auto"/>
      </w:divBdr>
    </w:div>
    <w:div w:id="832720659">
      <w:bodyDiv w:val="1"/>
      <w:marLeft w:val="0"/>
      <w:marRight w:val="0"/>
      <w:marTop w:val="0"/>
      <w:marBottom w:val="0"/>
      <w:divBdr>
        <w:top w:val="none" w:sz="0" w:space="0" w:color="auto"/>
        <w:left w:val="none" w:sz="0" w:space="0" w:color="auto"/>
        <w:bottom w:val="none" w:sz="0" w:space="0" w:color="auto"/>
        <w:right w:val="none" w:sz="0" w:space="0" w:color="auto"/>
      </w:divBdr>
    </w:div>
    <w:div w:id="1023022485">
      <w:bodyDiv w:val="1"/>
      <w:marLeft w:val="0"/>
      <w:marRight w:val="0"/>
      <w:marTop w:val="0"/>
      <w:marBottom w:val="0"/>
      <w:divBdr>
        <w:top w:val="none" w:sz="0" w:space="0" w:color="auto"/>
        <w:left w:val="none" w:sz="0" w:space="0" w:color="auto"/>
        <w:bottom w:val="none" w:sz="0" w:space="0" w:color="auto"/>
        <w:right w:val="none" w:sz="0" w:space="0" w:color="auto"/>
      </w:divBdr>
      <w:divsChild>
        <w:div w:id="118843781">
          <w:marLeft w:val="0"/>
          <w:marRight w:val="0"/>
          <w:marTop w:val="0"/>
          <w:marBottom w:val="0"/>
          <w:divBdr>
            <w:top w:val="none" w:sz="0" w:space="0" w:color="auto"/>
            <w:left w:val="none" w:sz="0" w:space="0" w:color="auto"/>
            <w:bottom w:val="none" w:sz="0" w:space="0" w:color="auto"/>
            <w:right w:val="none" w:sz="0" w:space="0" w:color="auto"/>
          </w:divBdr>
          <w:divsChild>
            <w:div w:id="454955169">
              <w:marLeft w:val="0"/>
              <w:marRight w:val="0"/>
              <w:marTop w:val="0"/>
              <w:marBottom w:val="0"/>
              <w:divBdr>
                <w:top w:val="none" w:sz="0" w:space="0" w:color="auto"/>
                <w:left w:val="none" w:sz="0" w:space="0" w:color="auto"/>
                <w:bottom w:val="none" w:sz="0" w:space="0" w:color="auto"/>
                <w:right w:val="none" w:sz="0" w:space="0" w:color="auto"/>
              </w:divBdr>
              <w:divsChild>
                <w:div w:id="8516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1788">
      <w:bodyDiv w:val="1"/>
      <w:marLeft w:val="0"/>
      <w:marRight w:val="0"/>
      <w:marTop w:val="0"/>
      <w:marBottom w:val="0"/>
      <w:divBdr>
        <w:top w:val="none" w:sz="0" w:space="0" w:color="auto"/>
        <w:left w:val="none" w:sz="0" w:space="0" w:color="auto"/>
        <w:bottom w:val="none" w:sz="0" w:space="0" w:color="auto"/>
        <w:right w:val="none" w:sz="0" w:space="0" w:color="auto"/>
      </w:divBdr>
    </w:div>
    <w:div w:id="1030105531">
      <w:bodyDiv w:val="1"/>
      <w:marLeft w:val="0"/>
      <w:marRight w:val="0"/>
      <w:marTop w:val="0"/>
      <w:marBottom w:val="0"/>
      <w:divBdr>
        <w:top w:val="none" w:sz="0" w:space="0" w:color="auto"/>
        <w:left w:val="none" w:sz="0" w:space="0" w:color="auto"/>
        <w:bottom w:val="none" w:sz="0" w:space="0" w:color="auto"/>
        <w:right w:val="none" w:sz="0" w:space="0" w:color="auto"/>
      </w:divBdr>
    </w:div>
    <w:div w:id="1040283925">
      <w:bodyDiv w:val="1"/>
      <w:marLeft w:val="0"/>
      <w:marRight w:val="0"/>
      <w:marTop w:val="0"/>
      <w:marBottom w:val="0"/>
      <w:divBdr>
        <w:top w:val="none" w:sz="0" w:space="0" w:color="auto"/>
        <w:left w:val="none" w:sz="0" w:space="0" w:color="auto"/>
        <w:bottom w:val="none" w:sz="0" w:space="0" w:color="auto"/>
        <w:right w:val="none" w:sz="0" w:space="0" w:color="auto"/>
      </w:divBdr>
    </w:div>
    <w:div w:id="1067650792">
      <w:bodyDiv w:val="1"/>
      <w:marLeft w:val="0"/>
      <w:marRight w:val="0"/>
      <w:marTop w:val="0"/>
      <w:marBottom w:val="0"/>
      <w:divBdr>
        <w:top w:val="none" w:sz="0" w:space="0" w:color="auto"/>
        <w:left w:val="none" w:sz="0" w:space="0" w:color="auto"/>
        <w:bottom w:val="none" w:sz="0" w:space="0" w:color="auto"/>
        <w:right w:val="none" w:sz="0" w:space="0" w:color="auto"/>
      </w:divBdr>
    </w:div>
    <w:div w:id="1074401935">
      <w:bodyDiv w:val="1"/>
      <w:marLeft w:val="0"/>
      <w:marRight w:val="0"/>
      <w:marTop w:val="0"/>
      <w:marBottom w:val="0"/>
      <w:divBdr>
        <w:top w:val="none" w:sz="0" w:space="0" w:color="auto"/>
        <w:left w:val="none" w:sz="0" w:space="0" w:color="auto"/>
        <w:bottom w:val="none" w:sz="0" w:space="0" w:color="auto"/>
        <w:right w:val="none" w:sz="0" w:space="0" w:color="auto"/>
      </w:divBdr>
    </w:div>
    <w:div w:id="1119955061">
      <w:bodyDiv w:val="1"/>
      <w:marLeft w:val="0"/>
      <w:marRight w:val="0"/>
      <w:marTop w:val="0"/>
      <w:marBottom w:val="0"/>
      <w:divBdr>
        <w:top w:val="none" w:sz="0" w:space="0" w:color="auto"/>
        <w:left w:val="none" w:sz="0" w:space="0" w:color="auto"/>
        <w:bottom w:val="none" w:sz="0" w:space="0" w:color="auto"/>
        <w:right w:val="none" w:sz="0" w:space="0" w:color="auto"/>
      </w:divBdr>
    </w:div>
    <w:div w:id="1135291935">
      <w:bodyDiv w:val="1"/>
      <w:marLeft w:val="0"/>
      <w:marRight w:val="0"/>
      <w:marTop w:val="0"/>
      <w:marBottom w:val="0"/>
      <w:divBdr>
        <w:top w:val="none" w:sz="0" w:space="0" w:color="auto"/>
        <w:left w:val="none" w:sz="0" w:space="0" w:color="auto"/>
        <w:bottom w:val="none" w:sz="0" w:space="0" w:color="auto"/>
        <w:right w:val="none" w:sz="0" w:space="0" w:color="auto"/>
      </w:divBdr>
      <w:divsChild>
        <w:div w:id="1753156734">
          <w:marLeft w:val="0"/>
          <w:marRight w:val="0"/>
          <w:marTop w:val="0"/>
          <w:marBottom w:val="0"/>
          <w:divBdr>
            <w:top w:val="none" w:sz="0" w:space="0" w:color="auto"/>
            <w:left w:val="none" w:sz="0" w:space="0" w:color="auto"/>
            <w:bottom w:val="none" w:sz="0" w:space="0" w:color="auto"/>
            <w:right w:val="none" w:sz="0" w:space="0" w:color="auto"/>
          </w:divBdr>
          <w:divsChild>
            <w:div w:id="362362600">
              <w:marLeft w:val="0"/>
              <w:marRight w:val="0"/>
              <w:marTop w:val="0"/>
              <w:marBottom w:val="0"/>
              <w:divBdr>
                <w:top w:val="none" w:sz="0" w:space="0" w:color="auto"/>
                <w:left w:val="none" w:sz="0" w:space="0" w:color="auto"/>
                <w:bottom w:val="none" w:sz="0" w:space="0" w:color="auto"/>
                <w:right w:val="none" w:sz="0" w:space="0" w:color="auto"/>
              </w:divBdr>
              <w:divsChild>
                <w:div w:id="411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8789">
      <w:bodyDiv w:val="1"/>
      <w:marLeft w:val="0"/>
      <w:marRight w:val="0"/>
      <w:marTop w:val="0"/>
      <w:marBottom w:val="0"/>
      <w:divBdr>
        <w:top w:val="none" w:sz="0" w:space="0" w:color="auto"/>
        <w:left w:val="none" w:sz="0" w:space="0" w:color="auto"/>
        <w:bottom w:val="none" w:sz="0" w:space="0" w:color="auto"/>
        <w:right w:val="none" w:sz="0" w:space="0" w:color="auto"/>
      </w:divBdr>
    </w:div>
    <w:div w:id="1175917776">
      <w:bodyDiv w:val="1"/>
      <w:marLeft w:val="0"/>
      <w:marRight w:val="0"/>
      <w:marTop w:val="0"/>
      <w:marBottom w:val="0"/>
      <w:divBdr>
        <w:top w:val="none" w:sz="0" w:space="0" w:color="auto"/>
        <w:left w:val="none" w:sz="0" w:space="0" w:color="auto"/>
        <w:bottom w:val="none" w:sz="0" w:space="0" w:color="auto"/>
        <w:right w:val="none" w:sz="0" w:space="0" w:color="auto"/>
      </w:divBdr>
    </w:div>
    <w:div w:id="1200968322">
      <w:bodyDiv w:val="1"/>
      <w:marLeft w:val="0"/>
      <w:marRight w:val="0"/>
      <w:marTop w:val="0"/>
      <w:marBottom w:val="0"/>
      <w:divBdr>
        <w:top w:val="none" w:sz="0" w:space="0" w:color="auto"/>
        <w:left w:val="none" w:sz="0" w:space="0" w:color="auto"/>
        <w:bottom w:val="none" w:sz="0" w:space="0" w:color="auto"/>
        <w:right w:val="none" w:sz="0" w:space="0" w:color="auto"/>
      </w:divBdr>
    </w:div>
    <w:div w:id="1223633735">
      <w:bodyDiv w:val="1"/>
      <w:marLeft w:val="0"/>
      <w:marRight w:val="0"/>
      <w:marTop w:val="0"/>
      <w:marBottom w:val="0"/>
      <w:divBdr>
        <w:top w:val="none" w:sz="0" w:space="0" w:color="auto"/>
        <w:left w:val="none" w:sz="0" w:space="0" w:color="auto"/>
        <w:bottom w:val="none" w:sz="0" w:space="0" w:color="auto"/>
        <w:right w:val="none" w:sz="0" w:space="0" w:color="auto"/>
      </w:divBdr>
      <w:divsChild>
        <w:div w:id="2125154868">
          <w:marLeft w:val="0"/>
          <w:marRight w:val="0"/>
          <w:marTop w:val="0"/>
          <w:marBottom w:val="0"/>
          <w:divBdr>
            <w:top w:val="none" w:sz="0" w:space="0" w:color="auto"/>
            <w:left w:val="none" w:sz="0" w:space="0" w:color="auto"/>
            <w:bottom w:val="none" w:sz="0" w:space="0" w:color="auto"/>
            <w:right w:val="none" w:sz="0" w:space="0" w:color="auto"/>
          </w:divBdr>
          <w:divsChild>
            <w:div w:id="716005136">
              <w:marLeft w:val="0"/>
              <w:marRight w:val="0"/>
              <w:marTop w:val="0"/>
              <w:marBottom w:val="0"/>
              <w:divBdr>
                <w:top w:val="none" w:sz="0" w:space="0" w:color="auto"/>
                <w:left w:val="none" w:sz="0" w:space="0" w:color="auto"/>
                <w:bottom w:val="none" w:sz="0" w:space="0" w:color="auto"/>
                <w:right w:val="none" w:sz="0" w:space="0" w:color="auto"/>
              </w:divBdr>
              <w:divsChild>
                <w:div w:id="908229648">
                  <w:marLeft w:val="0"/>
                  <w:marRight w:val="0"/>
                  <w:marTop w:val="0"/>
                  <w:marBottom w:val="0"/>
                  <w:divBdr>
                    <w:top w:val="none" w:sz="0" w:space="0" w:color="auto"/>
                    <w:left w:val="none" w:sz="0" w:space="0" w:color="auto"/>
                    <w:bottom w:val="none" w:sz="0" w:space="0" w:color="auto"/>
                    <w:right w:val="none" w:sz="0" w:space="0" w:color="auto"/>
                  </w:divBdr>
                  <w:divsChild>
                    <w:div w:id="18508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8409">
      <w:bodyDiv w:val="1"/>
      <w:marLeft w:val="0"/>
      <w:marRight w:val="0"/>
      <w:marTop w:val="0"/>
      <w:marBottom w:val="0"/>
      <w:divBdr>
        <w:top w:val="none" w:sz="0" w:space="0" w:color="auto"/>
        <w:left w:val="none" w:sz="0" w:space="0" w:color="auto"/>
        <w:bottom w:val="none" w:sz="0" w:space="0" w:color="auto"/>
        <w:right w:val="none" w:sz="0" w:space="0" w:color="auto"/>
      </w:divBdr>
    </w:div>
    <w:div w:id="1340692797">
      <w:bodyDiv w:val="1"/>
      <w:marLeft w:val="0"/>
      <w:marRight w:val="0"/>
      <w:marTop w:val="0"/>
      <w:marBottom w:val="0"/>
      <w:divBdr>
        <w:top w:val="none" w:sz="0" w:space="0" w:color="auto"/>
        <w:left w:val="none" w:sz="0" w:space="0" w:color="auto"/>
        <w:bottom w:val="none" w:sz="0" w:space="0" w:color="auto"/>
        <w:right w:val="none" w:sz="0" w:space="0" w:color="auto"/>
      </w:divBdr>
    </w:div>
    <w:div w:id="1395665928">
      <w:bodyDiv w:val="1"/>
      <w:marLeft w:val="0"/>
      <w:marRight w:val="0"/>
      <w:marTop w:val="0"/>
      <w:marBottom w:val="0"/>
      <w:divBdr>
        <w:top w:val="none" w:sz="0" w:space="0" w:color="auto"/>
        <w:left w:val="none" w:sz="0" w:space="0" w:color="auto"/>
        <w:bottom w:val="none" w:sz="0" w:space="0" w:color="auto"/>
        <w:right w:val="none" w:sz="0" w:space="0" w:color="auto"/>
      </w:divBdr>
    </w:div>
    <w:div w:id="1399086860">
      <w:bodyDiv w:val="1"/>
      <w:marLeft w:val="0"/>
      <w:marRight w:val="0"/>
      <w:marTop w:val="0"/>
      <w:marBottom w:val="0"/>
      <w:divBdr>
        <w:top w:val="none" w:sz="0" w:space="0" w:color="auto"/>
        <w:left w:val="none" w:sz="0" w:space="0" w:color="auto"/>
        <w:bottom w:val="none" w:sz="0" w:space="0" w:color="auto"/>
        <w:right w:val="none" w:sz="0" w:space="0" w:color="auto"/>
      </w:divBdr>
    </w:div>
    <w:div w:id="1450320082">
      <w:bodyDiv w:val="1"/>
      <w:marLeft w:val="0"/>
      <w:marRight w:val="0"/>
      <w:marTop w:val="0"/>
      <w:marBottom w:val="0"/>
      <w:divBdr>
        <w:top w:val="none" w:sz="0" w:space="0" w:color="auto"/>
        <w:left w:val="none" w:sz="0" w:space="0" w:color="auto"/>
        <w:bottom w:val="none" w:sz="0" w:space="0" w:color="auto"/>
        <w:right w:val="none" w:sz="0" w:space="0" w:color="auto"/>
      </w:divBdr>
    </w:div>
    <w:div w:id="1536843726">
      <w:bodyDiv w:val="1"/>
      <w:marLeft w:val="0"/>
      <w:marRight w:val="0"/>
      <w:marTop w:val="0"/>
      <w:marBottom w:val="0"/>
      <w:divBdr>
        <w:top w:val="none" w:sz="0" w:space="0" w:color="auto"/>
        <w:left w:val="none" w:sz="0" w:space="0" w:color="auto"/>
        <w:bottom w:val="none" w:sz="0" w:space="0" w:color="auto"/>
        <w:right w:val="none" w:sz="0" w:space="0" w:color="auto"/>
      </w:divBdr>
    </w:div>
    <w:div w:id="1551727038">
      <w:bodyDiv w:val="1"/>
      <w:marLeft w:val="0"/>
      <w:marRight w:val="0"/>
      <w:marTop w:val="0"/>
      <w:marBottom w:val="0"/>
      <w:divBdr>
        <w:top w:val="none" w:sz="0" w:space="0" w:color="auto"/>
        <w:left w:val="none" w:sz="0" w:space="0" w:color="auto"/>
        <w:bottom w:val="none" w:sz="0" w:space="0" w:color="auto"/>
        <w:right w:val="none" w:sz="0" w:space="0" w:color="auto"/>
      </w:divBdr>
    </w:div>
    <w:div w:id="1565599680">
      <w:bodyDiv w:val="1"/>
      <w:marLeft w:val="0"/>
      <w:marRight w:val="0"/>
      <w:marTop w:val="0"/>
      <w:marBottom w:val="0"/>
      <w:divBdr>
        <w:top w:val="none" w:sz="0" w:space="0" w:color="auto"/>
        <w:left w:val="none" w:sz="0" w:space="0" w:color="auto"/>
        <w:bottom w:val="none" w:sz="0" w:space="0" w:color="auto"/>
        <w:right w:val="none" w:sz="0" w:space="0" w:color="auto"/>
      </w:divBdr>
      <w:divsChild>
        <w:div w:id="1551914052">
          <w:marLeft w:val="0"/>
          <w:marRight w:val="0"/>
          <w:marTop w:val="0"/>
          <w:marBottom w:val="0"/>
          <w:divBdr>
            <w:top w:val="none" w:sz="0" w:space="0" w:color="auto"/>
            <w:left w:val="none" w:sz="0" w:space="0" w:color="auto"/>
            <w:bottom w:val="none" w:sz="0" w:space="0" w:color="auto"/>
            <w:right w:val="none" w:sz="0" w:space="0" w:color="auto"/>
          </w:divBdr>
          <w:divsChild>
            <w:div w:id="1632633558">
              <w:marLeft w:val="0"/>
              <w:marRight w:val="0"/>
              <w:marTop w:val="0"/>
              <w:marBottom w:val="0"/>
              <w:divBdr>
                <w:top w:val="none" w:sz="0" w:space="0" w:color="auto"/>
                <w:left w:val="none" w:sz="0" w:space="0" w:color="auto"/>
                <w:bottom w:val="none" w:sz="0" w:space="0" w:color="auto"/>
                <w:right w:val="none" w:sz="0" w:space="0" w:color="auto"/>
              </w:divBdr>
              <w:divsChild>
                <w:div w:id="833643870">
                  <w:marLeft w:val="0"/>
                  <w:marRight w:val="0"/>
                  <w:marTop w:val="0"/>
                  <w:marBottom w:val="0"/>
                  <w:divBdr>
                    <w:top w:val="none" w:sz="0" w:space="0" w:color="auto"/>
                    <w:left w:val="none" w:sz="0" w:space="0" w:color="auto"/>
                    <w:bottom w:val="none" w:sz="0" w:space="0" w:color="auto"/>
                    <w:right w:val="none" w:sz="0" w:space="0" w:color="auto"/>
                  </w:divBdr>
                  <w:divsChild>
                    <w:div w:id="3750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7052">
      <w:bodyDiv w:val="1"/>
      <w:marLeft w:val="0"/>
      <w:marRight w:val="0"/>
      <w:marTop w:val="0"/>
      <w:marBottom w:val="0"/>
      <w:divBdr>
        <w:top w:val="none" w:sz="0" w:space="0" w:color="auto"/>
        <w:left w:val="none" w:sz="0" w:space="0" w:color="auto"/>
        <w:bottom w:val="none" w:sz="0" w:space="0" w:color="auto"/>
        <w:right w:val="none" w:sz="0" w:space="0" w:color="auto"/>
      </w:divBdr>
    </w:div>
    <w:div w:id="1657565809">
      <w:bodyDiv w:val="1"/>
      <w:marLeft w:val="0"/>
      <w:marRight w:val="0"/>
      <w:marTop w:val="0"/>
      <w:marBottom w:val="0"/>
      <w:divBdr>
        <w:top w:val="none" w:sz="0" w:space="0" w:color="auto"/>
        <w:left w:val="none" w:sz="0" w:space="0" w:color="auto"/>
        <w:bottom w:val="none" w:sz="0" w:space="0" w:color="auto"/>
        <w:right w:val="none" w:sz="0" w:space="0" w:color="auto"/>
      </w:divBdr>
    </w:div>
    <w:div w:id="1688410092">
      <w:bodyDiv w:val="1"/>
      <w:marLeft w:val="0"/>
      <w:marRight w:val="0"/>
      <w:marTop w:val="0"/>
      <w:marBottom w:val="0"/>
      <w:divBdr>
        <w:top w:val="none" w:sz="0" w:space="0" w:color="auto"/>
        <w:left w:val="none" w:sz="0" w:space="0" w:color="auto"/>
        <w:bottom w:val="none" w:sz="0" w:space="0" w:color="auto"/>
        <w:right w:val="none" w:sz="0" w:space="0" w:color="auto"/>
      </w:divBdr>
      <w:divsChild>
        <w:div w:id="1284071787">
          <w:marLeft w:val="0"/>
          <w:marRight w:val="0"/>
          <w:marTop w:val="0"/>
          <w:marBottom w:val="0"/>
          <w:divBdr>
            <w:top w:val="none" w:sz="0" w:space="0" w:color="auto"/>
            <w:left w:val="none" w:sz="0" w:space="0" w:color="auto"/>
            <w:bottom w:val="none" w:sz="0" w:space="0" w:color="auto"/>
            <w:right w:val="none" w:sz="0" w:space="0" w:color="auto"/>
          </w:divBdr>
          <w:divsChild>
            <w:div w:id="1729110230">
              <w:marLeft w:val="0"/>
              <w:marRight w:val="0"/>
              <w:marTop w:val="0"/>
              <w:marBottom w:val="0"/>
              <w:divBdr>
                <w:top w:val="none" w:sz="0" w:space="0" w:color="auto"/>
                <w:left w:val="none" w:sz="0" w:space="0" w:color="auto"/>
                <w:bottom w:val="none" w:sz="0" w:space="0" w:color="auto"/>
                <w:right w:val="none" w:sz="0" w:space="0" w:color="auto"/>
              </w:divBdr>
              <w:divsChild>
                <w:div w:id="6314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6497">
      <w:bodyDiv w:val="1"/>
      <w:marLeft w:val="0"/>
      <w:marRight w:val="0"/>
      <w:marTop w:val="0"/>
      <w:marBottom w:val="0"/>
      <w:divBdr>
        <w:top w:val="none" w:sz="0" w:space="0" w:color="auto"/>
        <w:left w:val="none" w:sz="0" w:space="0" w:color="auto"/>
        <w:bottom w:val="none" w:sz="0" w:space="0" w:color="auto"/>
        <w:right w:val="none" w:sz="0" w:space="0" w:color="auto"/>
      </w:divBdr>
    </w:div>
    <w:div w:id="1739016450">
      <w:bodyDiv w:val="1"/>
      <w:marLeft w:val="0"/>
      <w:marRight w:val="0"/>
      <w:marTop w:val="0"/>
      <w:marBottom w:val="0"/>
      <w:divBdr>
        <w:top w:val="none" w:sz="0" w:space="0" w:color="auto"/>
        <w:left w:val="none" w:sz="0" w:space="0" w:color="auto"/>
        <w:bottom w:val="none" w:sz="0" w:space="0" w:color="auto"/>
        <w:right w:val="none" w:sz="0" w:space="0" w:color="auto"/>
      </w:divBdr>
    </w:div>
    <w:div w:id="1746493570">
      <w:bodyDiv w:val="1"/>
      <w:marLeft w:val="0"/>
      <w:marRight w:val="0"/>
      <w:marTop w:val="0"/>
      <w:marBottom w:val="0"/>
      <w:divBdr>
        <w:top w:val="none" w:sz="0" w:space="0" w:color="auto"/>
        <w:left w:val="none" w:sz="0" w:space="0" w:color="auto"/>
        <w:bottom w:val="none" w:sz="0" w:space="0" w:color="auto"/>
        <w:right w:val="none" w:sz="0" w:space="0" w:color="auto"/>
      </w:divBdr>
    </w:div>
    <w:div w:id="1767725399">
      <w:bodyDiv w:val="1"/>
      <w:marLeft w:val="0"/>
      <w:marRight w:val="0"/>
      <w:marTop w:val="0"/>
      <w:marBottom w:val="0"/>
      <w:divBdr>
        <w:top w:val="none" w:sz="0" w:space="0" w:color="auto"/>
        <w:left w:val="none" w:sz="0" w:space="0" w:color="auto"/>
        <w:bottom w:val="none" w:sz="0" w:space="0" w:color="auto"/>
        <w:right w:val="none" w:sz="0" w:space="0" w:color="auto"/>
      </w:divBdr>
    </w:div>
    <w:div w:id="1778019080">
      <w:bodyDiv w:val="1"/>
      <w:marLeft w:val="0"/>
      <w:marRight w:val="0"/>
      <w:marTop w:val="0"/>
      <w:marBottom w:val="0"/>
      <w:divBdr>
        <w:top w:val="none" w:sz="0" w:space="0" w:color="auto"/>
        <w:left w:val="none" w:sz="0" w:space="0" w:color="auto"/>
        <w:bottom w:val="none" w:sz="0" w:space="0" w:color="auto"/>
        <w:right w:val="none" w:sz="0" w:space="0" w:color="auto"/>
      </w:divBdr>
    </w:div>
    <w:div w:id="1861240667">
      <w:bodyDiv w:val="1"/>
      <w:marLeft w:val="0"/>
      <w:marRight w:val="0"/>
      <w:marTop w:val="0"/>
      <w:marBottom w:val="0"/>
      <w:divBdr>
        <w:top w:val="none" w:sz="0" w:space="0" w:color="auto"/>
        <w:left w:val="none" w:sz="0" w:space="0" w:color="auto"/>
        <w:bottom w:val="none" w:sz="0" w:space="0" w:color="auto"/>
        <w:right w:val="none" w:sz="0" w:space="0" w:color="auto"/>
      </w:divBdr>
    </w:div>
    <w:div w:id="1875187340">
      <w:bodyDiv w:val="1"/>
      <w:marLeft w:val="0"/>
      <w:marRight w:val="0"/>
      <w:marTop w:val="0"/>
      <w:marBottom w:val="0"/>
      <w:divBdr>
        <w:top w:val="none" w:sz="0" w:space="0" w:color="auto"/>
        <w:left w:val="none" w:sz="0" w:space="0" w:color="auto"/>
        <w:bottom w:val="none" w:sz="0" w:space="0" w:color="auto"/>
        <w:right w:val="none" w:sz="0" w:space="0" w:color="auto"/>
      </w:divBdr>
    </w:div>
    <w:div w:id="1895775726">
      <w:bodyDiv w:val="1"/>
      <w:marLeft w:val="0"/>
      <w:marRight w:val="0"/>
      <w:marTop w:val="0"/>
      <w:marBottom w:val="0"/>
      <w:divBdr>
        <w:top w:val="none" w:sz="0" w:space="0" w:color="auto"/>
        <w:left w:val="none" w:sz="0" w:space="0" w:color="auto"/>
        <w:bottom w:val="none" w:sz="0" w:space="0" w:color="auto"/>
        <w:right w:val="none" w:sz="0" w:space="0" w:color="auto"/>
      </w:divBdr>
    </w:div>
    <w:div w:id="1902715445">
      <w:bodyDiv w:val="1"/>
      <w:marLeft w:val="0"/>
      <w:marRight w:val="0"/>
      <w:marTop w:val="0"/>
      <w:marBottom w:val="0"/>
      <w:divBdr>
        <w:top w:val="none" w:sz="0" w:space="0" w:color="auto"/>
        <w:left w:val="none" w:sz="0" w:space="0" w:color="auto"/>
        <w:bottom w:val="none" w:sz="0" w:space="0" w:color="auto"/>
        <w:right w:val="none" w:sz="0" w:space="0" w:color="auto"/>
      </w:divBdr>
    </w:div>
    <w:div w:id="1937665744">
      <w:bodyDiv w:val="1"/>
      <w:marLeft w:val="0"/>
      <w:marRight w:val="0"/>
      <w:marTop w:val="0"/>
      <w:marBottom w:val="0"/>
      <w:divBdr>
        <w:top w:val="none" w:sz="0" w:space="0" w:color="auto"/>
        <w:left w:val="none" w:sz="0" w:space="0" w:color="auto"/>
        <w:bottom w:val="none" w:sz="0" w:space="0" w:color="auto"/>
        <w:right w:val="none" w:sz="0" w:space="0" w:color="auto"/>
      </w:divBdr>
    </w:div>
    <w:div w:id="1998653854">
      <w:bodyDiv w:val="1"/>
      <w:marLeft w:val="0"/>
      <w:marRight w:val="0"/>
      <w:marTop w:val="0"/>
      <w:marBottom w:val="0"/>
      <w:divBdr>
        <w:top w:val="none" w:sz="0" w:space="0" w:color="auto"/>
        <w:left w:val="none" w:sz="0" w:space="0" w:color="auto"/>
        <w:bottom w:val="none" w:sz="0" w:space="0" w:color="auto"/>
        <w:right w:val="none" w:sz="0" w:space="0" w:color="auto"/>
      </w:divBdr>
    </w:div>
    <w:div w:id="2004359544">
      <w:bodyDiv w:val="1"/>
      <w:marLeft w:val="0"/>
      <w:marRight w:val="0"/>
      <w:marTop w:val="0"/>
      <w:marBottom w:val="0"/>
      <w:divBdr>
        <w:top w:val="none" w:sz="0" w:space="0" w:color="auto"/>
        <w:left w:val="none" w:sz="0" w:space="0" w:color="auto"/>
        <w:bottom w:val="none" w:sz="0" w:space="0" w:color="auto"/>
        <w:right w:val="none" w:sz="0" w:space="0" w:color="auto"/>
      </w:divBdr>
    </w:div>
    <w:div w:id="2047484445">
      <w:bodyDiv w:val="1"/>
      <w:marLeft w:val="0"/>
      <w:marRight w:val="0"/>
      <w:marTop w:val="0"/>
      <w:marBottom w:val="0"/>
      <w:divBdr>
        <w:top w:val="none" w:sz="0" w:space="0" w:color="auto"/>
        <w:left w:val="none" w:sz="0" w:space="0" w:color="auto"/>
        <w:bottom w:val="none" w:sz="0" w:space="0" w:color="auto"/>
        <w:right w:val="none" w:sz="0" w:space="0" w:color="auto"/>
      </w:divBdr>
    </w:div>
    <w:div w:id="2087877490">
      <w:bodyDiv w:val="1"/>
      <w:marLeft w:val="0"/>
      <w:marRight w:val="0"/>
      <w:marTop w:val="0"/>
      <w:marBottom w:val="0"/>
      <w:divBdr>
        <w:top w:val="none" w:sz="0" w:space="0" w:color="auto"/>
        <w:left w:val="none" w:sz="0" w:space="0" w:color="auto"/>
        <w:bottom w:val="none" w:sz="0" w:space="0" w:color="auto"/>
        <w:right w:val="none" w:sz="0" w:space="0" w:color="auto"/>
      </w:divBdr>
    </w:div>
    <w:div w:id="2099710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Nagoya Institute of Technology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Oda</dc:creator>
  <cp:keywords/>
  <dc:description/>
  <cp:lastModifiedBy>Microsoft Office User</cp:lastModifiedBy>
  <cp:revision>3</cp:revision>
  <cp:lastPrinted>2020-01-09T10:18:00Z</cp:lastPrinted>
  <dcterms:created xsi:type="dcterms:W3CDTF">2020-01-10T13:39:00Z</dcterms:created>
  <dcterms:modified xsi:type="dcterms:W3CDTF">2020-01-10T13:41:00Z</dcterms:modified>
</cp:coreProperties>
</file>