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183D" w14:textId="425C8A2E" w:rsidR="004703EC" w:rsidRDefault="004703EC" w:rsidP="004703EC">
      <w:pPr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Supplementary figures</w:t>
      </w:r>
      <w:bookmarkStart w:id="0" w:name="_GoBack"/>
      <w:bookmarkEnd w:id="0"/>
    </w:p>
    <w:p w14:paraId="3F3D8B4A" w14:textId="77777777" w:rsidR="004703EC" w:rsidRDefault="004703EC" w:rsidP="004703EC">
      <w:pPr>
        <w:rPr>
          <w:b/>
          <w:bCs/>
          <w:sz w:val="22"/>
          <w:szCs w:val="22"/>
          <w:lang w:eastAsia="ja-JP"/>
        </w:rPr>
      </w:pPr>
    </w:p>
    <w:p w14:paraId="37157963" w14:textId="77777777" w:rsidR="004703EC" w:rsidRPr="00AF26ED" w:rsidRDefault="004703EC" w:rsidP="004703EC">
      <w:pPr>
        <w:rPr>
          <w:b/>
          <w:bCs/>
          <w:sz w:val="22"/>
          <w:szCs w:val="22"/>
          <w:lang w:eastAsia="ja-JP"/>
        </w:rPr>
      </w:pPr>
      <w:r w:rsidRPr="00AF26ED">
        <w:rPr>
          <w:b/>
          <w:bCs/>
          <w:sz w:val="22"/>
          <w:szCs w:val="22"/>
          <w:lang w:eastAsia="ja-JP"/>
        </w:rPr>
        <w:t>The Mirroring</w:t>
      </w:r>
      <w:r w:rsidRPr="00AF26ED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AF26ED">
        <w:rPr>
          <w:b/>
          <w:bCs/>
          <w:sz w:val="22"/>
          <w:szCs w:val="22"/>
          <w:lang w:eastAsia="ja-JP"/>
        </w:rPr>
        <w:t>of Symbols: An EEG Study on the Role of Mirroring in the Formation of Symbolic Communication Systems</w:t>
      </w:r>
    </w:p>
    <w:p w14:paraId="4DDEAD32" w14:textId="77777777" w:rsidR="004703EC" w:rsidRPr="00AF26ED" w:rsidRDefault="004703EC" w:rsidP="004703EC">
      <w:pPr>
        <w:rPr>
          <w:b/>
          <w:bCs/>
          <w:sz w:val="22"/>
          <w:szCs w:val="22"/>
          <w:lang w:eastAsia="ja-JP"/>
        </w:rPr>
      </w:pPr>
    </w:p>
    <w:p w14:paraId="72A73605" w14:textId="77777777" w:rsidR="004703EC" w:rsidRDefault="004703EC" w:rsidP="004703EC">
      <w:pPr>
        <w:rPr>
          <w:b/>
          <w:bCs/>
          <w:sz w:val="22"/>
          <w:szCs w:val="22"/>
          <w:lang w:eastAsia="ja-JP"/>
        </w:rPr>
      </w:pPr>
      <w:r w:rsidRPr="00AF26ED">
        <w:rPr>
          <w:b/>
          <w:bCs/>
          <w:sz w:val="22"/>
          <w:szCs w:val="22"/>
          <w:lang w:eastAsia="ja-JP"/>
        </w:rPr>
        <w:t xml:space="preserve">Guanhong Li, Takashi Hashimoto, Takeshi Konno, Jiro Okuda, Kazuyuki </w:t>
      </w:r>
      <w:proofErr w:type="spellStart"/>
      <w:r w:rsidRPr="00AF26ED">
        <w:rPr>
          <w:b/>
          <w:bCs/>
          <w:sz w:val="22"/>
          <w:szCs w:val="22"/>
          <w:lang w:eastAsia="ja-JP"/>
        </w:rPr>
        <w:t>Samejima</w:t>
      </w:r>
      <w:proofErr w:type="spellEnd"/>
      <w:r w:rsidRPr="00AF26ED">
        <w:rPr>
          <w:b/>
          <w:bCs/>
          <w:sz w:val="22"/>
          <w:szCs w:val="22"/>
          <w:lang w:eastAsia="ja-JP"/>
        </w:rPr>
        <w:t xml:space="preserve">, Masayuki Fujiwara, </w:t>
      </w:r>
      <w:proofErr w:type="spellStart"/>
      <w:r w:rsidRPr="00AF26ED">
        <w:rPr>
          <w:b/>
          <w:bCs/>
          <w:sz w:val="22"/>
          <w:szCs w:val="22"/>
          <w:lang w:eastAsia="ja-JP"/>
        </w:rPr>
        <w:t>Junya</w:t>
      </w:r>
      <w:proofErr w:type="spellEnd"/>
      <w:r w:rsidRPr="00AF26ED">
        <w:rPr>
          <w:b/>
          <w:bCs/>
          <w:sz w:val="22"/>
          <w:szCs w:val="22"/>
          <w:lang w:eastAsia="ja-JP"/>
        </w:rPr>
        <w:t xml:space="preserve"> Morita</w:t>
      </w:r>
    </w:p>
    <w:p w14:paraId="13D05C60" w14:textId="77777777" w:rsidR="004703EC" w:rsidRDefault="004703EC" w:rsidP="004703EC">
      <w:pPr>
        <w:rPr>
          <w:b/>
          <w:bCs/>
          <w:sz w:val="22"/>
          <w:szCs w:val="22"/>
          <w:lang w:eastAsia="ja-JP"/>
        </w:rPr>
      </w:pPr>
    </w:p>
    <w:p w14:paraId="6DC1E9C7" w14:textId="3B747A69" w:rsidR="00BF217E" w:rsidRDefault="004703EC" w:rsidP="004703EC">
      <w:pPr>
        <w:jc w:val="both"/>
        <w:rPr>
          <w:b/>
          <w:bCs/>
          <w:sz w:val="22"/>
          <w:szCs w:val="22"/>
          <w:lang w:eastAsia="ja-JP"/>
        </w:rPr>
      </w:pPr>
      <w:r w:rsidRPr="00AF26ED">
        <w:rPr>
          <w:rFonts w:hint="eastAsia"/>
          <w:b/>
          <w:bCs/>
          <w:i/>
          <w:sz w:val="22"/>
          <w:szCs w:val="22"/>
          <w:lang w:eastAsia="ja-JP"/>
        </w:rPr>
        <w:t>L</w:t>
      </w:r>
      <w:r w:rsidRPr="00AF26ED">
        <w:rPr>
          <w:b/>
          <w:bCs/>
          <w:i/>
          <w:sz w:val="22"/>
          <w:szCs w:val="22"/>
          <w:lang w:eastAsia="ja-JP"/>
        </w:rPr>
        <w:t>etters on Evolutionary Behavioral Science</w:t>
      </w:r>
    </w:p>
    <w:p w14:paraId="01307F8C" w14:textId="77777777" w:rsidR="00BF217E" w:rsidRDefault="00BF217E" w:rsidP="000D3814">
      <w:pPr>
        <w:jc w:val="both"/>
        <w:rPr>
          <w:b/>
          <w:bCs/>
          <w:sz w:val="22"/>
          <w:szCs w:val="22"/>
          <w:lang w:eastAsia="ja-JP"/>
        </w:rPr>
      </w:pPr>
    </w:p>
    <w:p w14:paraId="7373C840" w14:textId="77777777" w:rsidR="00BF217E" w:rsidRDefault="00BF217E" w:rsidP="000D3814">
      <w:pPr>
        <w:jc w:val="both"/>
        <w:rPr>
          <w:b/>
          <w:bCs/>
          <w:sz w:val="22"/>
          <w:szCs w:val="22"/>
          <w:lang w:eastAsia="ja-JP"/>
        </w:rPr>
      </w:pPr>
    </w:p>
    <w:p w14:paraId="13B4A120" w14:textId="2769F6B1" w:rsidR="002329C7" w:rsidRPr="002329C7" w:rsidRDefault="002329C7" w:rsidP="000D3814">
      <w:pPr>
        <w:jc w:val="both"/>
        <w:rPr>
          <w:bCs/>
          <w:sz w:val="22"/>
          <w:szCs w:val="22"/>
          <w:lang w:eastAsia="ja-JP"/>
        </w:rPr>
      </w:pPr>
      <w:r w:rsidRPr="002329C7">
        <w:rPr>
          <w:b/>
          <w:bCs/>
          <w:sz w:val="22"/>
          <w:szCs w:val="22"/>
          <w:lang w:eastAsia="ja-JP"/>
        </w:rPr>
        <w:t xml:space="preserve">Figure </w:t>
      </w:r>
      <w:r>
        <w:rPr>
          <w:b/>
          <w:bCs/>
          <w:sz w:val="22"/>
          <w:szCs w:val="22"/>
          <w:lang w:eastAsia="ja-JP"/>
        </w:rPr>
        <w:t>S</w:t>
      </w:r>
      <w:r w:rsidRPr="002329C7">
        <w:rPr>
          <w:b/>
          <w:bCs/>
          <w:sz w:val="22"/>
          <w:szCs w:val="22"/>
          <w:lang w:eastAsia="ja-JP"/>
        </w:rPr>
        <w:t>1.</w:t>
      </w:r>
      <w:r w:rsidRPr="002329C7">
        <w:rPr>
          <w:bCs/>
          <w:sz w:val="22"/>
          <w:szCs w:val="22"/>
          <w:lang w:eastAsia="ja-JP"/>
        </w:rPr>
        <w:t xml:space="preserve"> The</w:t>
      </w:r>
      <w:r>
        <w:rPr>
          <w:bCs/>
          <w:sz w:val="22"/>
          <w:szCs w:val="22"/>
          <w:lang w:eastAsia="ja-JP"/>
        </w:rPr>
        <w:t xml:space="preserve"> 12 possible starting positions for placing two agents in different rooms in the</w:t>
      </w:r>
      <w:r w:rsidRPr="002329C7">
        <w:rPr>
          <w:bCs/>
          <w:sz w:val="22"/>
          <w:szCs w:val="22"/>
          <w:lang w:eastAsia="ja-JP"/>
        </w:rPr>
        <w:t xml:space="preserve"> communicative coordination game.</w:t>
      </w:r>
      <w:r>
        <w:rPr>
          <w:bCs/>
          <w:sz w:val="22"/>
          <w:szCs w:val="22"/>
          <w:lang w:eastAsia="ja-JP"/>
        </w:rPr>
        <w:t xml:space="preserve"> In the experiment</w:t>
      </w:r>
      <w:r w:rsidR="000D3814">
        <w:rPr>
          <w:bCs/>
          <w:sz w:val="22"/>
          <w:szCs w:val="22"/>
          <w:lang w:eastAsia="ja-JP"/>
        </w:rPr>
        <w:t>, for every 12 rounds in</w:t>
      </w:r>
      <w:r>
        <w:rPr>
          <w:bCs/>
          <w:sz w:val="22"/>
          <w:szCs w:val="22"/>
          <w:lang w:eastAsia="ja-JP"/>
        </w:rPr>
        <w:t xml:space="preserve"> both communicative and </w:t>
      </w:r>
      <w:r w:rsidR="000D3814">
        <w:rPr>
          <w:bCs/>
          <w:sz w:val="22"/>
          <w:szCs w:val="22"/>
          <w:lang w:eastAsia="ja-JP"/>
        </w:rPr>
        <w:t>non-</w:t>
      </w:r>
      <w:r>
        <w:rPr>
          <w:bCs/>
          <w:sz w:val="22"/>
          <w:szCs w:val="22"/>
          <w:lang w:eastAsia="ja-JP"/>
        </w:rPr>
        <w:t xml:space="preserve">communicative </w:t>
      </w:r>
      <w:r w:rsidR="000D3814">
        <w:rPr>
          <w:bCs/>
          <w:sz w:val="22"/>
          <w:szCs w:val="22"/>
          <w:lang w:eastAsia="ja-JP"/>
        </w:rPr>
        <w:t>games</w:t>
      </w:r>
      <w:r>
        <w:rPr>
          <w:bCs/>
          <w:sz w:val="22"/>
          <w:szCs w:val="22"/>
          <w:lang w:eastAsia="ja-JP"/>
        </w:rPr>
        <w:t xml:space="preserve">, each </w:t>
      </w:r>
      <w:r w:rsidRPr="002D773B">
        <w:rPr>
          <w:bCs/>
          <w:sz w:val="22"/>
          <w:szCs w:val="22"/>
          <w:lang w:eastAsia="ja-JP"/>
        </w:rPr>
        <w:t>starting position</w:t>
      </w:r>
      <w:r>
        <w:rPr>
          <w:bCs/>
          <w:sz w:val="22"/>
          <w:szCs w:val="22"/>
          <w:lang w:eastAsia="ja-JP"/>
        </w:rPr>
        <w:t xml:space="preserve"> appeared exactly once in a random</w:t>
      </w:r>
      <w:r w:rsidR="008E3B99">
        <w:rPr>
          <w:bCs/>
          <w:sz w:val="22"/>
          <w:szCs w:val="22"/>
          <w:lang w:eastAsia="ja-JP"/>
        </w:rPr>
        <w:t>ized</w:t>
      </w:r>
      <w:r>
        <w:rPr>
          <w:bCs/>
          <w:sz w:val="22"/>
          <w:szCs w:val="22"/>
          <w:lang w:eastAsia="ja-JP"/>
        </w:rPr>
        <w:t xml:space="preserve"> order.</w:t>
      </w:r>
    </w:p>
    <w:p w14:paraId="6FE3C130" w14:textId="7D0936B3" w:rsidR="00A27E9A" w:rsidRPr="002329C7" w:rsidRDefault="00A27E9A" w:rsidP="002329C7"/>
    <w:p w14:paraId="658464CA" w14:textId="77FD8970" w:rsidR="00276332" w:rsidRDefault="00C401EB" w:rsidP="002329C7">
      <w:r>
        <w:rPr>
          <w:noProof/>
          <w:lang w:eastAsia="ja-JP" w:bidi="ar-SA"/>
        </w:rPr>
        <w:drawing>
          <wp:inline distT="0" distB="0" distL="0" distR="0" wp14:anchorId="5879F2BE" wp14:editId="108C78A8">
            <wp:extent cx="5486400" cy="4124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A7DE" w14:textId="7C78C3D2" w:rsidR="002329C7" w:rsidRDefault="00276332" w:rsidP="000D3814">
      <w:pPr>
        <w:jc w:val="both"/>
        <w:rPr>
          <w:bCs/>
          <w:sz w:val="22"/>
          <w:szCs w:val="22"/>
          <w:lang w:eastAsia="ja-JP"/>
        </w:rPr>
      </w:pPr>
      <w:r>
        <w:br w:type="page"/>
      </w:r>
      <w:r w:rsidRPr="002329C7">
        <w:rPr>
          <w:b/>
          <w:bCs/>
          <w:sz w:val="22"/>
          <w:szCs w:val="22"/>
          <w:lang w:eastAsia="ja-JP"/>
        </w:rPr>
        <w:lastRenderedPageBreak/>
        <w:t xml:space="preserve">Figure </w:t>
      </w:r>
      <w:r>
        <w:rPr>
          <w:b/>
          <w:bCs/>
          <w:sz w:val="22"/>
          <w:szCs w:val="22"/>
          <w:lang w:eastAsia="ja-JP"/>
        </w:rPr>
        <w:t>S2</w:t>
      </w:r>
      <w:r w:rsidRPr="002329C7">
        <w:rPr>
          <w:b/>
          <w:bCs/>
          <w:sz w:val="22"/>
          <w:szCs w:val="22"/>
          <w:lang w:eastAsia="ja-JP"/>
        </w:rPr>
        <w:t>.</w:t>
      </w:r>
      <w:r w:rsidRPr="002329C7">
        <w:rPr>
          <w:bCs/>
          <w:sz w:val="22"/>
          <w:szCs w:val="22"/>
          <w:lang w:eastAsia="ja-JP"/>
        </w:rPr>
        <w:t xml:space="preserve"> </w:t>
      </w:r>
      <w:r>
        <w:rPr>
          <w:bCs/>
          <w:sz w:val="22"/>
          <w:szCs w:val="22"/>
          <w:lang w:eastAsia="ja-JP"/>
        </w:rPr>
        <w:t>Performance in the communicative coordination game</w:t>
      </w:r>
      <w:r w:rsidR="000D3814">
        <w:rPr>
          <w:bCs/>
          <w:sz w:val="22"/>
          <w:szCs w:val="22"/>
          <w:lang w:eastAsia="ja-JP"/>
        </w:rPr>
        <w:t xml:space="preserve"> of the participants</w:t>
      </w:r>
      <w:r>
        <w:rPr>
          <w:bCs/>
          <w:sz w:val="22"/>
          <w:szCs w:val="22"/>
          <w:lang w:eastAsia="ja-JP"/>
        </w:rPr>
        <w:t xml:space="preserve"> group</w:t>
      </w:r>
      <w:r w:rsidR="000D3814">
        <w:rPr>
          <w:bCs/>
          <w:sz w:val="22"/>
          <w:szCs w:val="22"/>
          <w:lang w:eastAsia="ja-JP"/>
        </w:rPr>
        <w:t>ed</w:t>
      </w:r>
      <w:r>
        <w:rPr>
          <w:bCs/>
          <w:sz w:val="22"/>
          <w:szCs w:val="22"/>
          <w:lang w:eastAsia="ja-JP"/>
        </w:rPr>
        <w:t xml:space="preserve"> by significant </w:t>
      </w:r>
      <w:r w:rsidRPr="00276332">
        <w:rPr>
          <w:bCs/>
          <w:sz w:val="22"/>
          <w:szCs w:val="22"/>
          <w:lang w:eastAsia="ja-JP"/>
        </w:rPr>
        <w:t>occipital 10–12 Hz power suppression</w:t>
      </w:r>
      <w:r>
        <w:rPr>
          <w:bCs/>
          <w:sz w:val="22"/>
          <w:szCs w:val="22"/>
          <w:lang w:eastAsia="ja-JP"/>
        </w:rPr>
        <w:t>.</w:t>
      </w:r>
      <w:r w:rsidR="0019790B">
        <w:rPr>
          <w:bCs/>
          <w:sz w:val="22"/>
          <w:szCs w:val="22"/>
          <w:lang w:eastAsia="ja-JP"/>
        </w:rPr>
        <w:t xml:space="preserve"> For each of the</w:t>
      </w:r>
      <w:r w:rsidR="000D3814">
        <w:rPr>
          <w:bCs/>
          <w:sz w:val="22"/>
          <w:szCs w:val="22"/>
          <w:lang w:eastAsia="ja-JP"/>
        </w:rPr>
        <w:t xml:space="preserve"> three</w:t>
      </w:r>
      <w:r w:rsidR="0019790B">
        <w:rPr>
          <w:bCs/>
          <w:sz w:val="22"/>
          <w:szCs w:val="22"/>
          <w:lang w:eastAsia="ja-JP"/>
        </w:rPr>
        <w:t xml:space="preserve"> occipital electrode sites, </w:t>
      </w:r>
      <w:r w:rsidR="00CF15C2">
        <w:rPr>
          <w:bCs/>
          <w:sz w:val="22"/>
          <w:szCs w:val="22"/>
          <w:lang w:eastAsia="ja-JP"/>
        </w:rPr>
        <w:t xml:space="preserve">three indices (met-rate, connotation score, and denotation score) of behavioral </w:t>
      </w:r>
      <w:r w:rsidR="0019790B">
        <w:rPr>
          <w:bCs/>
          <w:sz w:val="22"/>
          <w:szCs w:val="22"/>
          <w:lang w:eastAsia="ja-JP"/>
        </w:rPr>
        <w:t xml:space="preserve">performance of </w:t>
      </w:r>
      <w:r w:rsidR="000D3814">
        <w:rPr>
          <w:bCs/>
          <w:sz w:val="22"/>
          <w:szCs w:val="22"/>
          <w:lang w:eastAsia="ja-JP"/>
        </w:rPr>
        <w:t>two</w:t>
      </w:r>
      <w:r w:rsidR="0019790B">
        <w:rPr>
          <w:bCs/>
          <w:sz w:val="22"/>
          <w:szCs w:val="22"/>
          <w:lang w:eastAsia="ja-JP"/>
        </w:rPr>
        <w:t xml:space="preserve"> groups</w:t>
      </w:r>
      <w:r w:rsidR="00071D7A">
        <w:rPr>
          <w:bCs/>
          <w:sz w:val="22"/>
          <w:szCs w:val="22"/>
          <w:lang w:eastAsia="ja-JP"/>
        </w:rPr>
        <w:t xml:space="preserve"> of</w:t>
      </w:r>
      <w:r w:rsidR="0019790B">
        <w:rPr>
          <w:bCs/>
          <w:sz w:val="22"/>
          <w:szCs w:val="22"/>
          <w:lang w:eastAsia="ja-JP"/>
        </w:rPr>
        <w:t xml:space="preserve"> participants are</w:t>
      </w:r>
      <w:r w:rsidR="00071D7A">
        <w:rPr>
          <w:bCs/>
          <w:sz w:val="22"/>
          <w:szCs w:val="22"/>
          <w:lang w:eastAsia="ja-JP"/>
        </w:rPr>
        <w:t xml:space="preserve"> plotted:</w:t>
      </w:r>
      <w:r w:rsidR="0019790B">
        <w:rPr>
          <w:bCs/>
          <w:sz w:val="22"/>
          <w:szCs w:val="22"/>
          <w:lang w:eastAsia="ja-JP"/>
        </w:rPr>
        <w:t xml:space="preserve"> th</w:t>
      </w:r>
      <w:r w:rsidR="00071D7A">
        <w:rPr>
          <w:bCs/>
          <w:sz w:val="22"/>
          <w:szCs w:val="22"/>
          <w:lang w:eastAsia="ja-JP"/>
        </w:rPr>
        <w:t>e participants</w:t>
      </w:r>
      <w:r w:rsidR="0019790B">
        <w:rPr>
          <w:bCs/>
          <w:sz w:val="22"/>
          <w:szCs w:val="22"/>
          <w:lang w:eastAsia="ja-JP"/>
        </w:rPr>
        <w:t xml:space="preserve"> who showed</w:t>
      </w:r>
      <w:r w:rsidR="00071D7A">
        <w:rPr>
          <w:bCs/>
          <w:sz w:val="22"/>
          <w:szCs w:val="22"/>
          <w:lang w:eastAsia="ja-JP"/>
        </w:rPr>
        <w:t xml:space="preserve"> significant</w:t>
      </w:r>
      <w:r w:rsidR="0019790B">
        <w:rPr>
          <w:bCs/>
          <w:sz w:val="22"/>
          <w:szCs w:val="22"/>
          <w:lang w:eastAsia="ja-JP"/>
        </w:rPr>
        <w:t xml:space="preserve"> </w:t>
      </w:r>
      <w:r w:rsidR="0019790B" w:rsidRPr="0019790B">
        <w:rPr>
          <w:bCs/>
          <w:sz w:val="22"/>
          <w:szCs w:val="22"/>
          <w:lang w:eastAsia="ja-JP"/>
        </w:rPr>
        <w:t>10–12 Hz power suppression</w:t>
      </w:r>
      <w:r w:rsidR="0019790B">
        <w:rPr>
          <w:bCs/>
          <w:sz w:val="22"/>
          <w:szCs w:val="22"/>
          <w:lang w:eastAsia="ja-JP"/>
        </w:rPr>
        <w:t xml:space="preserve"> in </w:t>
      </w:r>
      <w:r w:rsidR="005C71D8">
        <w:rPr>
          <w:bCs/>
          <w:sz w:val="22"/>
          <w:szCs w:val="22"/>
          <w:lang w:eastAsia="ja-JP"/>
        </w:rPr>
        <w:t xml:space="preserve">both communicative and non-communicative games (Both) and those who showed that in </w:t>
      </w:r>
      <w:r w:rsidR="0019790B">
        <w:rPr>
          <w:bCs/>
          <w:sz w:val="22"/>
          <w:szCs w:val="22"/>
          <w:lang w:eastAsia="ja-JP"/>
        </w:rPr>
        <w:t>the communicative game only (CCG</w:t>
      </w:r>
      <w:r w:rsidR="000D3814">
        <w:rPr>
          <w:bCs/>
          <w:sz w:val="22"/>
          <w:szCs w:val="22"/>
          <w:lang w:eastAsia="ja-JP"/>
        </w:rPr>
        <w:t>-</w:t>
      </w:r>
      <w:r w:rsidR="0019790B">
        <w:rPr>
          <w:bCs/>
          <w:sz w:val="22"/>
          <w:szCs w:val="22"/>
          <w:lang w:eastAsia="ja-JP"/>
        </w:rPr>
        <w:t>only).</w:t>
      </w:r>
      <w:r w:rsidR="00236ECF">
        <w:rPr>
          <w:bCs/>
          <w:sz w:val="22"/>
          <w:szCs w:val="22"/>
          <w:lang w:eastAsia="ja-JP"/>
        </w:rPr>
        <w:t xml:space="preserve"> </w:t>
      </w:r>
      <w:r w:rsidR="00216EA2">
        <w:rPr>
          <w:bCs/>
          <w:sz w:val="22"/>
          <w:szCs w:val="22"/>
          <w:lang w:eastAsia="ja-JP"/>
        </w:rPr>
        <w:t xml:space="preserve">We are </w:t>
      </w:r>
      <w:r w:rsidR="005425CE">
        <w:rPr>
          <w:bCs/>
          <w:sz w:val="22"/>
          <w:szCs w:val="22"/>
          <w:lang w:eastAsia="ja-JP"/>
        </w:rPr>
        <w:t>only</w:t>
      </w:r>
      <w:r w:rsidR="00216EA2">
        <w:rPr>
          <w:bCs/>
          <w:sz w:val="22"/>
          <w:szCs w:val="22"/>
          <w:lang w:eastAsia="ja-JP"/>
        </w:rPr>
        <w:t xml:space="preserve"> interested in </w:t>
      </w:r>
      <w:r w:rsidR="001B2E09">
        <w:rPr>
          <w:bCs/>
          <w:sz w:val="22"/>
          <w:szCs w:val="22"/>
          <w:lang w:eastAsia="ja-JP"/>
        </w:rPr>
        <w:t xml:space="preserve">comparing </w:t>
      </w:r>
      <w:r w:rsidR="005425CE">
        <w:rPr>
          <w:bCs/>
          <w:sz w:val="22"/>
          <w:szCs w:val="22"/>
          <w:lang w:eastAsia="ja-JP"/>
        </w:rPr>
        <w:t xml:space="preserve">these two groups since </w:t>
      </w:r>
      <w:r w:rsidR="001B2E09">
        <w:rPr>
          <w:bCs/>
          <w:sz w:val="22"/>
          <w:szCs w:val="22"/>
          <w:lang w:eastAsia="ja-JP"/>
        </w:rPr>
        <w:t xml:space="preserve">only </w:t>
      </w:r>
      <w:r w:rsidR="005425CE">
        <w:rPr>
          <w:bCs/>
          <w:sz w:val="22"/>
          <w:szCs w:val="22"/>
          <w:lang w:eastAsia="ja-JP"/>
        </w:rPr>
        <w:t xml:space="preserve">the </w:t>
      </w:r>
      <w:r w:rsidR="001B2E09">
        <w:rPr>
          <w:bCs/>
          <w:sz w:val="22"/>
          <w:szCs w:val="22"/>
          <w:lang w:eastAsia="ja-JP"/>
        </w:rPr>
        <w:t>difference between the Group-B and C was found statistically significant for the C3 site. If similar effects could be found for the occipital sites, the</w:t>
      </w:r>
      <w:r w:rsidR="001B6AFB">
        <w:rPr>
          <w:bCs/>
          <w:sz w:val="22"/>
          <w:szCs w:val="22"/>
          <w:lang w:eastAsia="ja-JP"/>
        </w:rPr>
        <w:t xml:space="preserve"> attention or memory</w:t>
      </w:r>
      <w:r w:rsidR="001B2E09">
        <w:rPr>
          <w:bCs/>
          <w:sz w:val="22"/>
          <w:szCs w:val="22"/>
          <w:lang w:eastAsia="ja-JP"/>
        </w:rPr>
        <w:t xml:space="preserve"> effects </w:t>
      </w:r>
      <w:r w:rsidR="001B6AFB">
        <w:rPr>
          <w:bCs/>
          <w:sz w:val="22"/>
          <w:szCs w:val="22"/>
          <w:lang w:eastAsia="ja-JP"/>
        </w:rPr>
        <w:t xml:space="preserve">would be able to account for the effects </w:t>
      </w:r>
      <w:r w:rsidR="001B2E09">
        <w:rPr>
          <w:bCs/>
          <w:sz w:val="22"/>
          <w:szCs w:val="22"/>
          <w:lang w:eastAsia="ja-JP"/>
        </w:rPr>
        <w:t xml:space="preserve">found from </w:t>
      </w:r>
      <w:r w:rsidR="001B6AFB">
        <w:rPr>
          <w:bCs/>
          <w:sz w:val="22"/>
          <w:szCs w:val="22"/>
          <w:lang w:eastAsia="ja-JP"/>
        </w:rPr>
        <w:t xml:space="preserve">the </w:t>
      </w:r>
      <w:r w:rsidR="001B2E09">
        <w:rPr>
          <w:bCs/>
          <w:sz w:val="22"/>
          <w:szCs w:val="22"/>
          <w:lang w:eastAsia="ja-JP"/>
        </w:rPr>
        <w:t>C3.</w:t>
      </w:r>
      <w:r w:rsidR="0019790B" w:rsidRPr="0019790B">
        <w:rPr>
          <w:bCs/>
          <w:sz w:val="22"/>
          <w:szCs w:val="22"/>
          <w:lang w:eastAsia="ja-JP"/>
        </w:rPr>
        <w:t xml:space="preserve"> </w:t>
      </w:r>
      <w:r>
        <w:rPr>
          <w:bCs/>
          <w:sz w:val="22"/>
          <w:szCs w:val="22"/>
          <w:lang w:eastAsia="ja-JP"/>
        </w:rPr>
        <w:t xml:space="preserve">From top to bottom: </w:t>
      </w:r>
      <w:r w:rsidR="00071D7A">
        <w:rPr>
          <w:bCs/>
          <w:sz w:val="22"/>
          <w:szCs w:val="22"/>
          <w:lang w:eastAsia="ja-JP"/>
        </w:rPr>
        <w:t xml:space="preserve">the results of occipital </w:t>
      </w:r>
      <w:r w:rsidR="000D3814">
        <w:rPr>
          <w:bCs/>
          <w:sz w:val="22"/>
          <w:szCs w:val="22"/>
          <w:lang w:eastAsia="ja-JP"/>
        </w:rPr>
        <w:t xml:space="preserve">electrode </w:t>
      </w:r>
      <w:r w:rsidR="00071D7A">
        <w:rPr>
          <w:bCs/>
          <w:sz w:val="22"/>
          <w:szCs w:val="22"/>
          <w:lang w:eastAsia="ja-JP"/>
        </w:rPr>
        <w:t xml:space="preserve">site O1, Oz, and O2. Error bars represent standard errors. </w:t>
      </w:r>
      <w:r w:rsidR="005C71D8">
        <w:rPr>
          <w:bCs/>
          <w:sz w:val="22"/>
          <w:szCs w:val="22"/>
          <w:lang w:eastAsia="ja-JP"/>
        </w:rPr>
        <w:t>I</w:t>
      </w:r>
      <w:r w:rsidR="000D3814">
        <w:rPr>
          <w:bCs/>
          <w:sz w:val="22"/>
          <w:szCs w:val="22"/>
          <w:lang w:eastAsia="ja-JP"/>
        </w:rPr>
        <w:t xml:space="preserve">ndependent-samples </w:t>
      </w:r>
      <w:r w:rsidR="000D3814" w:rsidRPr="005A681C">
        <w:rPr>
          <w:bCs/>
          <w:i/>
          <w:sz w:val="22"/>
          <w:szCs w:val="22"/>
          <w:lang w:eastAsia="ja-JP"/>
        </w:rPr>
        <w:t>t</w:t>
      </w:r>
      <w:r w:rsidR="000D3814">
        <w:rPr>
          <w:bCs/>
          <w:sz w:val="22"/>
          <w:szCs w:val="22"/>
          <w:lang w:eastAsia="ja-JP"/>
        </w:rPr>
        <w:t>-tests</w:t>
      </w:r>
      <w:r w:rsidR="005C71D8">
        <w:rPr>
          <w:bCs/>
          <w:sz w:val="22"/>
          <w:szCs w:val="22"/>
          <w:lang w:eastAsia="ja-JP"/>
        </w:rPr>
        <w:t xml:space="preserve"> found no significant difference</w:t>
      </w:r>
      <w:r w:rsidR="000D3814">
        <w:rPr>
          <w:bCs/>
          <w:sz w:val="22"/>
          <w:szCs w:val="22"/>
          <w:lang w:eastAsia="ja-JP"/>
        </w:rPr>
        <w:t xml:space="preserve"> between two groups (Both and CCG-only) for any behavioral indices a</w:t>
      </w:r>
      <w:r w:rsidR="005C71D8">
        <w:rPr>
          <w:bCs/>
          <w:sz w:val="22"/>
          <w:szCs w:val="22"/>
          <w:lang w:eastAsia="ja-JP"/>
        </w:rPr>
        <w:t>nd</w:t>
      </w:r>
      <w:r w:rsidR="000D3814">
        <w:rPr>
          <w:bCs/>
          <w:sz w:val="22"/>
          <w:szCs w:val="22"/>
          <w:lang w:eastAsia="ja-JP"/>
        </w:rPr>
        <w:t xml:space="preserve"> any occipital sites, indicating a lack of </w:t>
      </w:r>
      <w:r w:rsidR="00A666FA">
        <w:rPr>
          <w:bCs/>
          <w:sz w:val="22"/>
          <w:szCs w:val="22"/>
          <w:lang w:eastAsia="ja-JP"/>
        </w:rPr>
        <w:t xml:space="preserve">bias </w:t>
      </w:r>
      <w:r w:rsidR="000D3814">
        <w:rPr>
          <w:bCs/>
          <w:sz w:val="22"/>
          <w:szCs w:val="22"/>
          <w:lang w:eastAsia="ja-JP"/>
        </w:rPr>
        <w:t>effect of occipital brain activity.</w:t>
      </w:r>
    </w:p>
    <w:p w14:paraId="7DD93985" w14:textId="1180A6AB" w:rsidR="000D3814" w:rsidRPr="000D3814" w:rsidRDefault="000D3814" w:rsidP="002329C7"/>
    <w:p w14:paraId="0F86B1A3" w14:textId="73A70A26" w:rsidR="000D3814" w:rsidRPr="00591C20" w:rsidRDefault="00591C20" w:rsidP="002329C7">
      <w:r>
        <w:rPr>
          <w:noProof/>
        </w:rPr>
        <w:drawing>
          <wp:inline distT="0" distB="0" distL="0" distR="0" wp14:anchorId="6A3D40D3" wp14:editId="7817F84D">
            <wp:extent cx="5397500" cy="1803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ts_results_o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ACDD9" w14:textId="3F98D3B0" w:rsidR="000D3814" w:rsidRDefault="00591C20" w:rsidP="002329C7">
      <w:r>
        <w:rPr>
          <w:rFonts w:hint="eastAsia"/>
          <w:noProof/>
        </w:rPr>
        <w:drawing>
          <wp:inline distT="0" distB="0" distL="0" distR="0" wp14:anchorId="64FDE199" wp14:editId="649C80EA">
            <wp:extent cx="5397500" cy="18034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ts_results_oz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7A923" w14:textId="774D74E2" w:rsidR="000D3814" w:rsidRDefault="00591C20" w:rsidP="002329C7">
      <w:r>
        <w:rPr>
          <w:rFonts w:hint="eastAsia"/>
          <w:noProof/>
        </w:rPr>
        <w:drawing>
          <wp:inline distT="0" distB="0" distL="0" distR="0" wp14:anchorId="7189E96D" wp14:editId="19C77E5D">
            <wp:extent cx="5397500" cy="18034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ts_results_o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3F36C" w14:textId="77777777" w:rsidR="000D3814" w:rsidRPr="002329C7" w:rsidRDefault="000D3814" w:rsidP="002329C7"/>
    <w:sectPr w:rsidR="000D3814" w:rsidRPr="002329C7">
      <w:pgSz w:w="12240" w:h="15840"/>
      <w:pgMar w:top="1304" w:right="1797" w:bottom="130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229"/>
    <w:multiLevelType w:val="multilevel"/>
    <w:tmpl w:val="7C0C38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DateAndTime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E"/>
    <w:rsid w:val="00013D6F"/>
    <w:rsid w:val="000667B9"/>
    <w:rsid w:val="00071D7A"/>
    <w:rsid w:val="000C691B"/>
    <w:rsid w:val="000D3814"/>
    <w:rsid w:val="0013450F"/>
    <w:rsid w:val="00171AD7"/>
    <w:rsid w:val="00181244"/>
    <w:rsid w:val="001973E9"/>
    <w:rsid w:val="0019790B"/>
    <w:rsid w:val="001B2E09"/>
    <w:rsid w:val="001B6AFB"/>
    <w:rsid w:val="001C4200"/>
    <w:rsid w:val="001D64C5"/>
    <w:rsid w:val="001F0F9D"/>
    <w:rsid w:val="001F5F15"/>
    <w:rsid w:val="00216EA2"/>
    <w:rsid w:val="002329C7"/>
    <w:rsid w:val="00236ECF"/>
    <w:rsid w:val="002431D6"/>
    <w:rsid w:val="00250971"/>
    <w:rsid w:val="00276332"/>
    <w:rsid w:val="002A39E8"/>
    <w:rsid w:val="002C2AEC"/>
    <w:rsid w:val="002D773B"/>
    <w:rsid w:val="002F55BD"/>
    <w:rsid w:val="002F5F97"/>
    <w:rsid w:val="00352C66"/>
    <w:rsid w:val="00377C77"/>
    <w:rsid w:val="00393C01"/>
    <w:rsid w:val="003A0B99"/>
    <w:rsid w:val="003B364D"/>
    <w:rsid w:val="003D380E"/>
    <w:rsid w:val="00464CA5"/>
    <w:rsid w:val="004703EC"/>
    <w:rsid w:val="004765F6"/>
    <w:rsid w:val="004C20EA"/>
    <w:rsid w:val="004C7FF9"/>
    <w:rsid w:val="004F4D3B"/>
    <w:rsid w:val="0050191E"/>
    <w:rsid w:val="005425CE"/>
    <w:rsid w:val="00544E00"/>
    <w:rsid w:val="00591558"/>
    <w:rsid w:val="00591C20"/>
    <w:rsid w:val="005A681C"/>
    <w:rsid w:val="005C71D8"/>
    <w:rsid w:val="005D028A"/>
    <w:rsid w:val="0063654C"/>
    <w:rsid w:val="0066098E"/>
    <w:rsid w:val="00671311"/>
    <w:rsid w:val="00673C99"/>
    <w:rsid w:val="006C359A"/>
    <w:rsid w:val="006D6459"/>
    <w:rsid w:val="006E0154"/>
    <w:rsid w:val="007064F3"/>
    <w:rsid w:val="007302AD"/>
    <w:rsid w:val="007449CE"/>
    <w:rsid w:val="00777EA0"/>
    <w:rsid w:val="00793C91"/>
    <w:rsid w:val="007C5B51"/>
    <w:rsid w:val="007E57DB"/>
    <w:rsid w:val="008125F1"/>
    <w:rsid w:val="00830A8A"/>
    <w:rsid w:val="008441A6"/>
    <w:rsid w:val="00863168"/>
    <w:rsid w:val="008933C2"/>
    <w:rsid w:val="008A5182"/>
    <w:rsid w:val="008C162B"/>
    <w:rsid w:val="008D2930"/>
    <w:rsid w:val="008E3B99"/>
    <w:rsid w:val="009348E2"/>
    <w:rsid w:val="00996EB7"/>
    <w:rsid w:val="009B302E"/>
    <w:rsid w:val="009B6821"/>
    <w:rsid w:val="009D2489"/>
    <w:rsid w:val="00A22A44"/>
    <w:rsid w:val="00A27E9A"/>
    <w:rsid w:val="00A35ACF"/>
    <w:rsid w:val="00A4591B"/>
    <w:rsid w:val="00A666FA"/>
    <w:rsid w:val="00A73A4A"/>
    <w:rsid w:val="00AA5E36"/>
    <w:rsid w:val="00AE41D8"/>
    <w:rsid w:val="00B14793"/>
    <w:rsid w:val="00B24CD4"/>
    <w:rsid w:val="00BC36A3"/>
    <w:rsid w:val="00BF217E"/>
    <w:rsid w:val="00C30852"/>
    <w:rsid w:val="00C37F66"/>
    <w:rsid w:val="00C401EB"/>
    <w:rsid w:val="00C40ABD"/>
    <w:rsid w:val="00C42E13"/>
    <w:rsid w:val="00CC64E3"/>
    <w:rsid w:val="00CE60CA"/>
    <w:rsid w:val="00CF15C2"/>
    <w:rsid w:val="00D25DCF"/>
    <w:rsid w:val="00D42F72"/>
    <w:rsid w:val="00D44E8C"/>
    <w:rsid w:val="00D53326"/>
    <w:rsid w:val="00DB0D4B"/>
    <w:rsid w:val="00DC1B68"/>
    <w:rsid w:val="00DE2BFE"/>
    <w:rsid w:val="00E137EA"/>
    <w:rsid w:val="00E13866"/>
    <w:rsid w:val="00E412B6"/>
    <w:rsid w:val="00E65ACC"/>
    <w:rsid w:val="00EE7309"/>
    <w:rsid w:val="00F124A5"/>
    <w:rsid w:val="00F127AC"/>
    <w:rsid w:val="00F85BC1"/>
    <w:rsid w:val="00F95953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665438"/>
  <w15:docId w15:val="{5C5D6FAD-0653-F14E-AFF8-4B1349FF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ＭＳ 明朝"/>
      <w:sz w:val="24"/>
      <w:szCs w:val="24"/>
      <w:lang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コメント文字列 (文字)"/>
    <w:rPr>
      <w:lang w:bidi="he-IL"/>
    </w:rPr>
  </w:style>
  <w:style w:type="character" w:customStyle="1" w:styleId="a5">
    <w:name w:val="コメント内容 (文字)"/>
    <w:rPr>
      <w:b/>
      <w:bCs/>
      <w:lang w:bidi="he-IL"/>
    </w:rPr>
  </w:style>
  <w:style w:type="character" w:customStyle="1" w:styleId="a6">
    <w:name w:val="吹き出し (文字)"/>
    <w:rPr>
      <w:rFonts w:ascii="Tahoma" w:hAnsi="Tahoma" w:cs="Tahoma"/>
      <w:sz w:val="16"/>
      <w:szCs w:val="16"/>
      <w:lang w:bidi="he-IL"/>
    </w:rPr>
  </w:style>
  <w:style w:type="character" w:customStyle="1" w:styleId="CommentTextChar">
    <w:name w:val="Comment Text Char"/>
    <w:rPr>
      <w:sz w:val="22"/>
      <w:lang w:val="en-US" w:bidi="he-IL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jc w:val="both"/>
    </w:pPr>
    <w:rPr>
      <w:lang w:eastAsia="ja-JP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styleId="ac">
    <w:name w:val="annotation text"/>
    <w:basedOn w:val="a"/>
    <w:rPr>
      <w:sz w:val="22"/>
      <w:szCs w:val="20"/>
    </w:rPr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Tahoma" w:hAnsi="Tahoma" w:cs="Tahoma"/>
      <w:sz w:val="18"/>
      <w:szCs w:val="16"/>
    </w:rPr>
  </w:style>
  <w:style w:type="paragraph" w:customStyle="1" w:styleId="71">
    <w:name w:val="表 (赤)  71"/>
    <w:pPr>
      <w:suppressAutoHyphens/>
    </w:pPr>
    <w:rPr>
      <w:rFonts w:eastAsia="ＭＳ 明朝"/>
      <w:sz w:val="24"/>
      <w:szCs w:val="24"/>
      <w:lang w:eastAsia="zh-CN" w:bidi="he-IL"/>
    </w:rPr>
  </w:style>
  <w:style w:type="paragraph" w:styleId="af">
    <w:name w:val="Document Map"/>
    <w:basedOn w:val="a"/>
    <w:link w:val="af0"/>
    <w:uiPriority w:val="99"/>
    <w:semiHidden/>
    <w:unhideWhenUsed/>
    <w:rsid w:val="00544E00"/>
    <w:rPr>
      <w:rFonts w:ascii="ＭＳ 明朝"/>
    </w:rPr>
  </w:style>
  <w:style w:type="character" w:customStyle="1" w:styleId="af0">
    <w:name w:val="見出しマップ (文字)"/>
    <w:link w:val="af"/>
    <w:uiPriority w:val="99"/>
    <w:semiHidden/>
    <w:rsid w:val="00544E00"/>
    <w:rPr>
      <w:rFonts w:ascii="ＭＳ 明朝" w:eastAsia="ＭＳ 明朝"/>
      <w:sz w:val="24"/>
      <w:szCs w:val="24"/>
      <w:lang w:eastAsia="zh-CN" w:bidi="he-IL"/>
    </w:rPr>
  </w:style>
  <w:style w:type="character" w:styleId="af1">
    <w:name w:val="Hyperlink"/>
    <w:uiPriority w:val="99"/>
    <w:unhideWhenUsed/>
    <w:rsid w:val="00A27E9A"/>
    <w:rPr>
      <w:color w:val="0000FF"/>
      <w:u w:val="single"/>
    </w:rPr>
  </w:style>
  <w:style w:type="paragraph" w:styleId="af2">
    <w:name w:val="Revision"/>
    <w:hidden/>
    <w:uiPriority w:val="62"/>
    <w:semiHidden/>
    <w:rsid w:val="00777EA0"/>
    <w:rPr>
      <w:rFonts w:eastAsia="ＭＳ 明朝"/>
      <w:sz w:val="24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</dc:creator>
  <cp:keywords/>
  <dc:description/>
  <cp:lastModifiedBy>Masahito MORITA</cp:lastModifiedBy>
  <cp:revision>2</cp:revision>
  <cp:lastPrinted>1899-12-31T15:00:00Z</cp:lastPrinted>
  <dcterms:created xsi:type="dcterms:W3CDTF">2019-11-21T12:00:00Z</dcterms:created>
  <dcterms:modified xsi:type="dcterms:W3CDTF">2019-11-21T12:00:00Z</dcterms:modified>
</cp:coreProperties>
</file>