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99D7" w14:textId="1B50A8EB" w:rsidR="00406215" w:rsidRDefault="00406215" w:rsidP="002329C7">
      <w:pPr>
        <w:rPr>
          <w:b/>
          <w:bCs/>
          <w:sz w:val="22"/>
          <w:szCs w:val="22"/>
          <w:lang w:eastAsia="ja-JP"/>
        </w:rPr>
      </w:pPr>
      <w:r>
        <w:rPr>
          <w:rFonts w:hint="eastAsia"/>
          <w:b/>
          <w:bCs/>
          <w:sz w:val="22"/>
          <w:szCs w:val="22"/>
          <w:lang w:eastAsia="ja-JP"/>
        </w:rPr>
        <w:t>A</w:t>
      </w:r>
      <w:r>
        <w:rPr>
          <w:b/>
          <w:bCs/>
          <w:sz w:val="22"/>
          <w:szCs w:val="22"/>
          <w:lang w:eastAsia="ja-JP"/>
        </w:rPr>
        <w:t>ppendix</w:t>
      </w:r>
      <w:bookmarkStart w:id="0" w:name="_GoBack"/>
      <w:bookmarkEnd w:id="0"/>
    </w:p>
    <w:p w14:paraId="006CFBFE" w14:textId="77777777" w:rsidR="00AF26ED" w:rsidRDefault="00AF26ED" w:rsidP="002329C7">
      <w:pPr>
        <w:rPr>
          <w:b/>
          <w:bCs/>
          <w:sz w:val="22"/>
          <w:szCs w:val="22"/>
          <w:lang w:eastAsia="ja-JP"/>
        </w:rPr>
      </w:pPr>
    </w:p>
    <w:p w14:paraId="4C7DA638" w14:textId="77777777" w:rsidR="00AF26ED" w:rsidRPr="00AF26ED" w:rsidRDefault="00AF26ED" w:rsidP="00AF26ED">
      <w:pPr>
        <w:rPr>
          <w:b/>
          <w:bCs/>
          <w:sz w:val="22"/>
          <w:szCs w:val="22"/>
          <w:lang w:eastAsia="ja-JP"/>
        </w:rPr>
      </w:pPr>
      <w:r w:rsidRPr="00AF26ED">
        <w:rPr>
          <w:b/>
          <w:bCs/>
          <w:sz w:val="22"/>
          <w:szCs w:val="22"/>
          <w:lang w:eastAsia="ja-JP"/>
        </w:rPr>
        <w:t>The Mirroring</w:t>
      </w:r>
      <w:r w:rsidRPr="00AF26ED">
        <w:rPr>
          <w:rFonts w:hint="eastAsia"/>
          <w:b/>
          <w:bCs/>
          <w:sz w:val="22"/>
          <w:szCs w:val="22"/>
          <w:lang w:eastAsia="ja-JP"/>
        </w:rPr>
        <w:t xml:space="preserve"> </w:t>
      </w:r>
      <w:r w:rsidRPr="00AF26ED">
        <w:rPr>
          <w:b/>
          <w:bCs/>
          <w:sz w:val="22"/>
          <w:szCs w:val="22"/>
          <w:lang w:eastAsia="ja-JP"/>
        </w:rPr>
        <w:t>of Symbols: An EEG Study on the Role of Mirroring in the Formation of Symbolic Communication Systems</w:t>
      </w:r>
    </w:p>
    <w:p w14:paraId="0B5E957A" w14:textId="77777777" w:rsidR="00AF26ED" w:rsidRPr="00AF26ED" w:rsidRDefault="00AF26ED" w:rsidP="00AF26ED">
      <w:pPr>
        <w:rPr>
          <w:b/>
          <w:bCs/>
          <w:sz w:val="22"/>
          <w:szCs w:val="22"/>
          <w:lang w:eastAsia="ja-JP"/>
        </w:rPr>
      </w:pPr>
    </w:p>
    <w:p w14:paraId="4831D592" w14:textId="52EE486E" w:rsidR="00406215" w:rsidRDefault="00AF26ED" w:rsidP="00AF26ED">
      <w:pPr>
        <w:rPr>
          <w:b/>
          <w:bCs/>
          <w:sz w:val="22"/>
          <w:szCs w:val="22"/>
          <w:lang w:eastAsia="ja-JP"/>
        </w:rPr>
      </w:pPr>
      <w:r w:rsidRPr="00AF26ED">
        <w:rPr>
          <w:b/>
          <w:bCs/>
          <w:sz w:val="22"/>
          <w:szCs w:val="22"/>
          <w:lang w:eastAsia="ja-JP"/>
        </w:rPr>
        <w:t xml:space="preserve">Guanhong Li, Takashi Hashimoto, Takeshi Konno, Jiro Okuda, Kazuyuki </w:t>
      </w:r>
      <w:proofErr w:type="spellStart"/>
      <w:r w:rsidRPr="00AF26ED">
        <w:rPr>
          <w:b/>
          <w:bCs/>
          <w:sz w:val="22"/>
          <w:szCs w:val="22"/>
          <w:lang w:eastAsia="ja-JP"/>
        </w:rPr>
        <w:t>Samejima</w:t>
      </w:r>
      <w:proofErr w:type="spellEnd"/>
      <w:r w:rsidRPr="00AF26ED">
        <w:rPr>
          <w:b/>
          <w:bCs/>
          <w:sz w:val="22"/>
          <w:szCs w:val="22"/>
          <w:lang w:eastAsia="ja-JP"/>
        </w:rPr>
        <w:t xml:space="preserve">, Masayuki Fujiwara, </w:t>
      </w:r>
      <w:proofErr w:type="spellStart"/>
      <w:r w:rsidRPr="00AF26ED">
        <w:rPr>
          <w:b/>
          <w:bCs/>
          <w:sz w:val="22"/>
          <w:szCs w:val="22"/>
          <w:lang w:eastAsia="ja-JP"/>
        </w:rPr>
        <w:t>Junya</w:t>
      </w:r>
      <w:proofErr w:type="spellEnd"/>
      <w:r w:rsidRPr="00AF26ED">
        <w:rPr>
          <w:b/>
          <w:bCs/>
          <w:sz w:val="22"/>
          <w:szCs w:val="22"/>
          <w:lang w:eastAsia="ja-JP"/>
        </w:rPr>
        <w:t xml:space="preserve"> Morita</w:t>
      </w:r>
    </w:p>
    <w:p w14:paraId="1A5D952E" w14:textId="1330CACC" w:rsidR="00AF26ED" w:rsidRDefault="00AF26ED" w:rsidP="00AF26ED">
      <w:pPr>
        <w:rPr>
          <w:b/>
          <w:bCs/>
          <w:sz w:val="22"/>
          <w:szCs w:val="22"/>
          <w:lang w:eastAsia="ja-JP"/>
        </w:rPr>
      </w:pPr>
    </w:p>
    <w:p w14:paraId="51E0B9B8" w14:textId="6887828D" w:rsidR="00AF26ED" w:rsidRPr="00AF26ED" w:rsidRDefault="00AF26ED" w:rsidP="00AF26ED">
      <w:pPr>
        <w:rPr>
          <w:b/>
          <w:bCs/>
          <w:i/>
          <w:sz w:val="22"/>
          <w:szCs w:val="22"/>
          <w:lang w:eastAsia="ja-JP"/>
        </w:rPr>
      </w:pPr>
      <w:r w:rsidRPr="00AF26ED">
        <w:rPr>
          <w:rFonts w:hint="eastAsia"/>
          <w:b/>
          <w:bCs/>
          <w:i/>
          <w:sz w:val="22"/>
          <w:szCs w:val="22"/>
          <w:lang w:eastAsia="ja-JP"/>
        </w:rPr>
        <w:t>L</w:t>
      </w:r>
      <w:r w:rsidRPr="00AF26ED">
        <w:rPr>
          <w:b/>
          <w:bCs/>
          <w:i/>
          <w:sz w:val="22"/>
          <w:szCs w:val="22"/>
          <w:lang w:eastAsia="ja-JP"/>
        </w:rPr>
        <w:t>etters on Evolutionary Behavioral Science</w:t>
      </w:r>
    </w:p>
    <w:p w14:paraId="3B33342A" w14:textId="31A84A0B" w:rsidR="00177755" w:rsidRDefault="00177755" w:rsidP="002329C7">
      <w:pPr>
        <w:rPr>
          <w:b/>
          <w:bCs/>
          <w:sz w:val="22"/>
          <w:szCs w:val="22"/>
          <w:lang w:eastAsia="ja-JP"/>
        </w:rPr>
      </w:pPr>
    </w:p>
    <w:p w14:paraId="202D5446" w14:textId="77777777" w:rsidR="00AF26ED" w:rsidRPr="00AF26ED" w:rsidRDefault="00AF26ED" w:rsidP="002329C7">
      <w:pPr>
        <w:rPr>
          <w:b/>
          <w:bCs/>
          <w:sz w:val="22"/>
          <w:szCs w:val="22"/>
          <w:lang w:eastAsia="ja-JP"/>
        </w:rPr>
      </w:pPr>
    </w:p>
    <w:p w14:paraId="74DEAD4E" w14:textId="7D892DFB" w:rsidR="00406215" w:rsidRPr="00304552" w:rsidRDefault="001611DB" w:rsidP="00406215">
      <w:pPr>
        <w:ind w:firstLine="221"/>
        <w:outlineLvl w:val="0"/>
        <w:rPr>
          <w:b/>
        </w:rPr>
      </w:pPr>
      <w:r w:rsidRPr="00EA7133">
        <w:rPr>
          <w:b/>
        </w:rPr>
        <w:t xml:space="preserve">A1. </w:t>
      </w:r>
      <w:r w:rsidR="00406215" w:rsidRPr="00EA7133">
        <w:rPr>
          <w:b/>
        </w:rPr>
        <w:t>T</w:t>
      </w:r>
      <w:r w:rsidR="00406215">
        <w:rPr>
          <w:b/>
        </w:rPr>
        <w:t>asks in the single-player game (SG)</w:t>
      </w:r>
    </w:p>
    <w:p w14:paraId="717371B9" w14:textId="6F8E3615" w:rsidR="00406215" w:rsidRDefault="00406215" w:rsidP="002329C7">
      <w:pPr>
        <w:rPr>
          <w:b/>
          <w:bCs/>
          <w:sz w:val="22"/>
          <w:szCs w:val="22"/>
          <w:lang w:eastAsia="ja-JP"/>
        </w:rPr>
      </w:pPr>
    </w:p>
    <w:p w14:paraId="4FABF8D6" w14:textId="527BABA9" w:rsidR="00011862" w:rsidRPr="00EA7133" w:rsidRDefault="00652E29" w:rsidP="00406215">
      <w:pPr>
        <w:ind w:firstLine="221"/>
      </w:pPr>
      <w:r>
        <w:t xml:space="preserve">The SG was designed to </w:t>
      </w:r>
      <w:r w:rsidR="007A7A15">
        <w:t>share the visual stimuli</w:t>
      </w:r>
      <w:r w:rsidR="001C1F4D">
        <w:t xml:space="preserve"> with</w:t>
      </w:r>
      <w:r w:rsidR="007A7A15">
        <w:t xml:space="preserve"> the communicative coordination game (CCG) </w:t>
      </w:r>
      <w:r w:rsidR="001C1F4D">
        <w:t>while</w:t>
      </w:r>
      <w:r w:rsidR="007A7A15">
        <w:t xml:space="preserve"> </w:t>
      </w:r>
      <w:r>
        <w:t>involv</w:t>
      </w:r>
      <w:r w:rsidR="001C1F4D">
        <w:t>ing</w:t>
      </w:r>
      <w:r>
        <w:t xml:space="preserve"> a memory demand similar to that in the CCG without cognitive demands specifically related to communication.</w:t>
      </w:r>
      <w:r w:rsidR="00374334">
        <w:t xml:space="preserve"> In the SG, to </w:t>
      </w:r>
      <w:r w:rsidR="00AD3DFB">
        <w:t xml:space="preserve">prevent </w:t>
      </w:r>
      <w:r w:rsidR="00374334">
        <w:t xml:space="preserve">the development of communication systems, participants played a single-player game with a computer program. The participants were told </w:t>
      </w:r>
      <w:r w:rsidR="00D4191A">
        <w:t xml:space="preserve">the </w:t>
      </w:r>
      <w:r w:rsidR="00374334">
        <w:t>truth</w:t>
      </w:r>
      <w:r w:rsidR="00D4191A">
        <w:t xml:space="preserve"> that they were playing with a computer program </w:t>
      </w:r>
      <w:r w:rsidR="001611DB" w:rsidRPr="00EA7133">
        <w:t xml:space="preserve">that </w:t>
      </w:r>
      <w:r w:rsidR="00D4191A" w:rsidRPr="00EA7133">
        <w:t>always selects figures and takes moves randomly</w:t>
      </w:r>
      <w:r w:rsidR="00374334" w:rsidRPr="00EA7133">
        <w:t xml:space="preserve">. To involve a memory demand similar </w:t>
      </w:r>
      <w:r w:rsidR="00CA696A" w:rsidRPr="00EA7133">
        <w:t>to</w:t>
      </w:r>
      <w:r w:rsidR="00374334" w:rsidRPr="00EA7133">
        <w:t xml:space="preserve"> that in the CCG, the participants were engaged in</w:t>
      </w:r>
      <w:r w:rsidR="00BD083C" w:rsidRPr="00EA7133">
        <w:t xml:space="preserve"> </w:t>
      </w:r>
      <w:r w:rsidR="00406215" w:rsidRPr="00EA7133">
        <w:t xml:space="preserve">two </w:t>
      </w:r>
      <w:r w:rsidR="00760FBA" w:rsidRPr="00EA7133">
        <w:t xml:space="preserve">non-communicative </w:t>
      </w:r>
      <w:r w:rsidR="00406215" w:rsidRPr="00EA7133">
        <w:t xml:space="preserve">tasks: a </w:t>
      </w:r>
      <w:r w:rsidR="00406215" w:rsidRPr="00EA7133">
        <w:rPr>
          <w:i/>
        </w:rPr>
        <w:t>matching task</w:t>
      </w:r>
      <w:r w:rsidR="00406215" w:rsidRPr="00EA7133">
        <w:t xml:space="preserve"> and an </w:t>
      </w:r>
      <w:r w:rsidR="00406215" w:rsidRPr="00EA7133">
        <w:rPr>
          <w:i/>
        </w:rPr>
        <w:t>identification task</w:t>
      </w:r>
      <w:r w:rsidR="00406215" w:rsidRPr="00EA7133">
        <w:t>.</w:t>
      </w:r>
    </w:p>
    <w:p w14:paraId="3F4F8C5E" w14:textId="3F2D017C" w:rsidR="00011862" w:rsidRPr="00EA7133" w:rsidRDefault="00652E29" w:rsidP="00406215">
      <w:pPr>
        <w:ind w:firstLine="221"/>
      </w:pPr>
      <w:r w:rsidRPr="00EA7133">
        <w:t xml:space="preserve">The matching task is similar to the situation in the CCG when </w:t>
      </w:r>
      <w:r w:rsidR="00C76121" w:rsidRPr="00EA7133">
        <w:t>a</w:t>
      </w:r>
      <w:r w:rsidRPr="00EA7133">
        <w:t xml:space="preserve"> participant firstly receive</w:t>
      </w:r>
      <w:r w:rsidR="00C76121" w:rsidRPr="00EA7133">
        <w:t>d</w:t>
      </w:r>
      <w:r w:rsidRPr="00EA7133">
        <w:t xml:space="preserve"> a message and then </w:t>
      </w:r>
      <w:r w:rsidR="00BD46F1" w:rsidRPr="00EA7133">
        <w:t>repl</w:t>
      </w:r>
      <w:r w:rsidR="00C76121" w:rsidRPr="00EA7133">
        <w:t>ied</w:t>
      </w:r>
      <w:r w:rsidR="00BD46F1" w:rsidRPr="00EA7133">
        <w:t>.</w:t>
      </w:r>
      <w:r w:rsidR="00C76121" w:rsidRPr="00EA7133">
        <w:t xml:space="preserve"> Instead of </w:t>
      </w:r>
      <w:r w:rsidR="00D36047" w:rsidRPr="00EA7133">
        <w:t>interpreting</w:t>
      </w:r>
      <w:r w:rsidR="00C76121" w:rsidRPr="00EA7133">
        <w:t xml:space="preserve"> </w:t>
      </w:r>
      <w:r w:rsidR="001611DB" w:rsidRPr="00EA7133">
        <w:t xml:space="preserve">the </w:t>
      </w:r>
      <w:r w:rsidR="00C76121" w:rsidRPr="00EA7133">
        <w:t xml:space="preserve">communicative meaning </w:t>
      </w:r>
      <w:r w:rsidR="00D36047" w:rsidRPr="00EA7133">
        <w:t>of</w:t>
      </w:r>
      <w:r w:rsidR="00C76121" w:rsidRPr="00EA7133">
        <w:t xml:space="preserve"> a message, the participant in the matching task would need to memorize the received figure and reply with the same figure.</w:t>
      </w:r>
      <w:r w:rsidR="00BD46F1" w:rsidRPr="00EA7133">
        <w:t xml:space="preserve"> </w:t>
      </w:r>
      <w:r w:rsidR="00D36047" w:rsidRPr="00EA7133">
        <w:t xml:space="preserve">In each round, </w:t>
      </w:r>
      <w:r w:rsidR="0086039F" w:rsidRPr="00EA7133">
        <w:t>the</w:t>
      </w:r>
      <w:r w:rsidR="008D62D8" w:rsidRPr="00EA7133">
        <w:t xml:space="preserve"> computer program</w:t>
      </w:r>
      <w:r w:rsidR="002100F7" w:rsidRPr="00EA7133">
        <w:t xml:space="preserve"> </w:t>
      </w:r>
      <w:r w:rsidR="00D36047" w:rsidRPr="00EA7133">
        <w:t xml:space="preserve">firstly </w:t>
      </w:r>
      <w:r w:rsidR="008D62D8" w:rsidRPr="00EA7133">
        <w:t xml:space="preserve">selected a figure randomly from four alternatives and sent </w:t>
      </w:r>
      <w:r w:rsidR="001611DB" w:rsidRPr="00EA7133">
        <w:t xml:space="preserve">it </w:t>
      </w:r>
      <w:r w:rsidR="008D62D8" w:rsidRPr="00EA7133">
        <w:t>to the participant.</w:t>
      </w:r>
      <w:r w:rsidR="00AC047B" w:rsidRPr="00EA7133">
        <w:t xml:space="preserve"> The figure would be shown on the participant’s screen for at least three seconds.</w:t>
      </w:r>
      <w:r w:rsidR="008D62D8" w:rsidRPr="00EA7133">
        <w:t xml:space="preserve"> </w:t>
      </w:r>
      <w:r w:rsidR="002100F7" w:rsidRPr="00EA7133">
        <w:t>The p</w:t>
      </w:r>
      <w:r w:rsidR="00C15A53" w:rsidRPr="00EA7133">
        <w:t>articipant</w:t>
      </w:r>
      <w:r w:rsidR="002100F7" w:rsidRPr="00EA7133">
        <w:t xml:space="preserve"> had been</w:t>
      </w:r>
      <w:r w:rsidR="00C15A53" w:rsidRPr="00EA7133">
        <w:t xml:space="preserve"> </w:t>
      </w:r>
      <w:r w:rsidR="00AC047B" w:rsidRPr="00EA7133">
        <w:t>told that the received figure w</w:t>
      </w:r>
      <w:r w:rsidR="002100F7" w:rsidRPr="00EA7133">
        <w:t>as</w:t>
      </w:r>
      <w:r w:rsidR="00AC047B" w:rsidRPr="00EA7133">
        <w:t xml:space="preserve"> randomly selected, and </w:t>
      </w:r>
      <w:r w:rsidR="002100F7" w:rsidRPr="00EA7133">
        <w:t>he would need</w:t>
      </w:r>
      <w:r w:rsidR="00B47730" w:rsidRPr="00EA7133">
        <w:t xml:space="preserve"> to memorize th</w:t>
      </w:r>
      <w:r w:rsidR="00292F4D" w:rsidRPr="00EA7133">
        <w:t>at</w:t>
      </w:r>
      <w:r w:rsidR="00B47730" w:rsidRPr="00EA7133">
        <w:t xml:space="preserve"> figure</w:t>
      </w:r>
      <w:r w:rsidR="00AC047B" w:rsidRPr="00EA7133">
        <w:t xml:space="preserve">. </w:t>
      </w:r>
      <w:r w:rsidR="00615046" w:rsidRPr="00EA7133">
        <w:t xml:space="preserve">The figure disappeared when the participant pressed a button. The participant would then need to select a figure from </w:t>
      </w:r>
      <w:r w:rsidR="00292F4D" w:rsidRPr="00EA7133">
        <w:t xml:space="preserve">a pool of four </w:t>
      </w:r>
      <w:r w:rsidR="00615046" w:rsidRPr="00EA7133">
        <w:t>alternatives to match the received one.</w:t>
      </w:r>
    </w:p>
    <w:p w14:paraId="04CAE093" w14:textId="2F9B00CC" w:rsidR="006830C5" w:rsidRPr="00EA7133" w:rsidRDefault="00C76121" w:rsidP="00406215">
      <w:pPr>
        <w:ind w:firstLine="221"/>
      </w:pPr>
      <w:r w:rsidRPr="00EA7133">
        <w:t xml:space="preserve">On the other hand, the identification task is similar to the situation in the CCG when a participant firstly sent a message and then received a message as a reply. </w:t>
      </w:r>
      <w:r w:rsidR="00D36047" w:rsidRPr="00EA7133">
        <w:t xml:space="preserve">Instead of interpreting </w:t>
      </w:r>
      <w:r w:rsidR="001611DB" w:rsidRPr="00EA7133">
        <w:t xml:space="preserve">the </w:t>
      </w:r>
      <w:r w:rsidR="00D36047" w:rsidRPr="00EA7133">
        <w:t>communicative meaning of a message, the participant in the identification task would need to</w:t>
      </w:r>
      <w:r w:rsidR="00AD3DFB" w:rsidRPr="00EA7133">
        <w:t xml:space="preserve"> recall the figure that he sent earlier in the same round and</w:t>
      </w:r>
      <w:r w:rsidR="00D36047" w:rsidRPr="00EA7133">
        <w:t xml:space="preserve"> identify whether the received figure was the same</w:t>
      </w:r>
      <w:r w:rsidR="00AD3DFB" w:rsidRPr="00EA7133">
        <w:t xml:space="preserve"> or not</w:t>
      </w:r>
      <w:r w:rsidR="00D36047" w:rsidRPr="00EA7133">
        <w:t xml:space="preserve">. In each round, </w:t>
      </w:r>
      <w:r w:rsidR="00615046" w:rsidRPr="00EA7133">
        <w:t xml:space="preserve">the participant </w:t>
      </w:r>
      <w:r w:rsidR="00D36047" w:rsidRPr="00EA7133">
        <w:t>would need to</w:t>
      </w:r>
      <w:r w:rsidR="002100F7" w:rsidRPr="00EA7133">
        <w:t xml:space="preserve"> </w:t>
      </w:r>
      <w:r w:rsidR="0086039F" w:rsidRPr="00EA7133">
        <w:t xml:space="preserve">firstly </w:t>
      </w:r>
      <w:r w:rsidR="00615046" w:rsidRPr="00EA7133">
        <w:t xml:space="preserve">select a </w:t>
      </w:r>
      <w:r w:rsidR="0086039F" w:rsidRPr="00EA7133">
        <w:t xml:space="preserve">random </w:t>
      </w:r>
      <w:r w:rsidR="00615046" w:rsidRPr="00EA7133">
        <w:t>figure</w:t>
      </w:r>
      <w:r w:rsidR="002100F7" w:rsidRPr="00EA7133">
        <w:t xml:space="preserve"> </w:t>
      </w:r>
      <w:r w:rsidR="00615046" w:rsidRPr="00EA7133">
        <w:t>and sen</w:t>
      </w:r>
      <w:r w:rsidR="00D36047" w:rsidRPr="00EA7133">
        <w:t>d</w:t>
      </w:r>
      <w:r w:rsidR="00615046" w:rsidRPr="00EA7133">
        <w:t xml:space="preserve"> </w:t>
      </w:r>
      <w:r w:rsidR="001611DB" w:rsidRPr="00EA7133">
        <w:t xml:space="preserve">it </w:t>
      </w:r>
      <w:r w:rsidR="00615046" w:rsidRPr="00EA7133">
        <w:t>to the computer</w:t>
      </w:r>
      <w:r w:rsidR="0086039F" w:rsidRPr="00EA7133">
        <w:t xml:space="preserve"> program. A random figure would be selected by the computer program as a reply, which would be shown on the participant’s screen for at least three seconds. </w:t>
      </w:r>
      <w:r w:rsidR="002100F7" w:rsidRPr="00EA7133">
        <w:t xml:space="preserve">The participant </w:t>
      </w:r>
      <w:r w:rsidR="00292F4D" w:rsidRPr="00EA7133">
        <w:t xml:space="preserve">had been told that the received figure was randomly selected, and he </w:t>
      </w:r>
      <w:r w:rsidR="002100F7" w:rsidRPr="00EA7133">
        <w:t>would need to</w:t>
      </w:r>
      <w:r w:rsidR="00296E89" w:rsidRPr="00EA7133">
        <w:t xml:space="preserve"> recall the figure he sent previously and</w:t>
      </w:r>
      <w:r w:rsidR="0086039F" w:rsidRPr="00EA7133">
        <w:t xml:space="preserve"> </w:t>
      </w:r>
      <w:r w:rsidR="00A049A1" w:rsidRPr="00EA7133">
        <w:t xml:space="preserve">indicate </w:t>
      </w:r>
      <w:r w:rsidR="00B943A9" w:rsidRPr="00EA7133">
        <w:t xml:space="preserve">that </w:t>
      </w:r>
      <w:r w:rsidR="00296E89" w:rsidRPr="00EA7133">
        <w:t xml:space="preserve">the received </w:t>
      </w:r>
      <w:r w:rsidR="0086039F" w:rsidRPr="00EA7133">
        <w:t>figure was the same/different</w:t>
      </w:r>
      <w:r w:rsidR="00B943A9" w:rsidRPr="00EA7133">
        <w:t xml:space="preserve"> by pressing a blue/green button</w:t>
      </w:r>
      <w:r w:rsidR="00296E89" w:rsidRPr="00EA7133">
        <w:t>, respectively</w:t>
      </w:r>
      <w:r w:rsidR="002100F7" w:rsidRPr="00EA7133">
        <w:t>.</w:t>
      </w:r>
    </w:p>
    <w:p w14:paraId="341A139C" w14:textId="22448D93" w:rsidR="00406215" w:rsidRPr="00EA7133" w:rsidRDefault="0090432C" w:rsidP="00406215">
      <w:pPr>
        <w:ind w:firstLine="221"/>
      </w:pPr>
      <w:r w:rsidRPr="00EA7133">
        <w:t>Participants performed one of the two tasks in a sequence of six rounds and then switched to the other one. A</w:t>
      </w:r>
      <w:r w:rsidR="002100F7" w:rsidRPr="00EA7133">
        <w:t>t the beginning of each round,</w:t>
      </w:r>
      <w:r w:rsidR="00760FBA" w:rsidRPr="00EA7133">
        <w:t xml:space="preserve"> the round number was show</w:t>
      </w:r>
      <w:r w:rsidR="00B84B75" w:rsidRPr="00EA7133">
        <w:t>n</w:t>
      </w:r>
      <w:r w:rsidR="00760FBA" w:rsidRPr="00EA7133">
        <w:t>, whose color indicated</w:t>
      </w:r>
      <w:r w:rsidR="002100F7" w:rsidRPr="00EA7133">
        <w:t xml:space="preserve"> </w:t>
      </w:r>
      <w:r w:rsidR="00760FBA" w:rsidRPr="00EA7133">
        <w:t>the type of task in the current round: a</w:t>
      </w:r>
      <w:r w:rsidR="00F90FC2" w:rsidRPr="00EA7133">
        <w:t xml:space="preserve"> yellow number </w:t>
      </w:r>
      <w:r w:rsidR="00760FBA" w:rsidRPr="00EA7133">
        <w:t xml:space="preserve">represented </w:t>
      </w:r>
      <w:r w:rsidR="006830C5" w:rsidRPr="00EA7133">
        <w:t xml:space="preserve">the matching task, while a green number </w:t>
      </w:r>
      <w:r w:rsidR="00760FBA" w:rsidRPr="00EA7133">
        <w:t xml:space="preserve">represented </w:t>
      </w:r>
      <w:r w:rsidR="006830C5" w:rsidRPr="00EA7133">
        <w:t>the identification task.</w:t>
      </w:r>
      <w:r w:rsidR="00760FBA" w:rsidRPr="00EA7133">
        <w:t xml:space="preserve"> </w:t>
      </w:r>
      <w:r w:rsidR="00011862" w:rsidRPr="00EA7133">
        <w:t>Eventually, a p</w:t>
      </w:r>
      <w:r w:rsidR="00C06F8A" w:rsidRPr="00EA7133">
        <w:t xml:space="preserve">articipant </w:t>
      </w:r>
      <w:r w:rsidR="00011862" w:rsidRPr="00EA7133">
        <w:t>performed</w:t>
      </w:r>
      <w:r w:rsidR="00C06F8A" w:rsidRPr="00EA7133">
        <w:t xml:space="preserve"> </w:t>
      </w:r>
      <w:r w:rsidR="00011862" w:rsidRPr="00EA7133">
        <w:t xml:space="preserve">each task for 24 rounds, yielding </w:t>
      </w:r>
      <w:r w:rsidR="00C06F8A" w:rsidRPr="00EA7133">
        <w:t xml:space="preserve">a </w:t>
      </w:r>
      <w:r w:rsidR="001611DB" w:rsidRPr="00EA7133">
        <w:t xml:space="preserve">total of </w:t>
      </w:r>
      <w:r w:rsidR="00C06F8A" w:rsidRPr="00EA7133">
        <w:t>48 rounds in the SG.</w:t>
      </w:r>
    </w:p>
    <w:p w14:paraId="0103B2CF" w14:textId="25772CCA" w:rsidR="00044224" w:rsidRPr="00EA7133" w:rsidRDefault="0090432C" w:rsidP="00406215">
      <w:pPr>
        <w:ind w:firstLine="221"/>
      </w:pPr>
      <w:r w:rsidRPr="00EA7133">
        <w:t xml:space="preserve">Similar to the flow in the CCG, </w:t>
      </w:r>
      <w:r w:rsidR="00B27178" w:rsidRPr="00EA7133">
        <w:t xml:space="preserve">after exchanging messages, </w:t>
      </w:r>
      <w:r w:rsidRPr="00EA7133">
        <w:t xml:space="preserve">the </w:t>
      </w:r>
      <w:r w:rsidR="00B27178" w:rsidRPr="00EA7133">
        <w:t>players</w:t>
      </w:r>
      <w:r w:rsidRPr="00EA7133">
        <w:t xml:space="preserve"> in the SG would need to </w:t>
      </w:r>
      <w:r w:rsidR="00B27178" w:rsidRPr="00EA7133">
        <w:t>take</w:t>
      </w:r>
      <w:r w:rsidRPr="00EA7133">
        <w:t xml:space="preserve"> a move</w:t>
      </w:r>
      <w:r w:rsidR="00B27178" w:rsidRPr="00EA7133">
        <w:t xml:space="preserve"> to choose an ending room</w:t>
      </w:r>
      <w:r w:rsidRPr="00EA7133">
        <w:t xml:space="preserve"> for </w:t>
      </w:r>
      <w:r w:rsidR="00B27178" w:rsidRPr="00EA7133">
        <w:t>their</w:t>
      </w:r>
      <w:r w:rsidRPr="00EA7133">
        <w:t xml:space="preserve"> avatar</w:t>
      </w:r>
      <w:r w:rsidR="00B27178" w:rsidRPr="00EA7133">
        <w:t>s</w:t>
      </w:r>
      <w:r w:rsidRPr="00EA7133">
        <w:t xml:space="preserve">. To prevent a consistent </w:t>
      </w:r>
      <w:r w:rsidRPr="00EA7133">
        <w:lastRenderedPageBreak/>
        <w:t>messages-</w:t>
      </w:r>
      <w:r w:rsidR="00B27178" w:rsidRPr="00EA7133">
        <w:t>rooms</w:t>
      </w:r>
      <w:r w:rsidRPr="00EA7133">
        <w:t xml:space="preserve"> mapping from emerging,</w:t>
      </w:r>
      <w:r w:rsidR="00B27178" w:rsidRPr="00EA7133">
        <w:t xml:space="preserve"> the computer player always chose a random room except </w:t>
      </w:r>
      <w:r w:rsidR="001611DB" w:rsidRPr="00EA7133">
        <w:t xml:space="preserve">for </w:t>
      </w:r>
      <w:r w:rsidR="00B27178" w:rsidRPr="00EA7133">
        <w:t>the diagonal one.</w:t>
      </w:r>
      <w:r w:rsidRPr="00EA7133">
        <w:t xml:space="preserve"> </w:t>
      </w:r>
      <w:r w:rsidR="00B27178" w:rsidRPr="00EA7133">
        <w:t>The p</w:t>
      </w:r>
      <w:r w:rsidR="006A5AB3" w:rsidRPr="00EA7133">
        <w:t>articipants were told th</w:t>
      </w:r>
      <w:r w:rsidR="00D4191A" w:rsidRPr="00EA7133">
        <w:t>at the moves of the computer player were randomly chosen</w:t>
      </w:r>
      <w:r w:rsidR="006A5AB3" w:rsidRPr="00EA7133">
        <w:t xml:space="preserve"> and </w:t>
      </w:r>
      <w:r w:rsidR="00292F4D" w:rsidRPr="00EA7133">
        <w:t>instructed</w:t>
      </w:r>
      <w:r w:rsidR="006A5AB3" w:rsidRPr="00EA7133">
        <w:t xml:space="preserve"> to</w:t>
      </w:r>
      <w:r w:rsidR="00B27178" w:rsidRPr="00EA7133">
        <w:t xml:space="preserve"> take random moves as well</w:t>
      </w:r>
      <w:r w:rsidR="006A5AB3" w:rsidRPr="00EA7133">
        <w:t xml:space="preserve">. </w:t>
      </w:r>
      <w:r w:rsidR="00B27178" w:rsidRPr="00EA7133">
        <w:t xml:space="preserve">We instructed the participants to </w:t>
      </w:r>
      <w:r w:rsidR="006A5AB3" w:rsidRPr="00EA7133">
        <w:t xml:space="preserve">focus </w:t>
      </w:r>
      <w:r w:rsidR="00076816" w:rsidRPr="00EA7133">
        <w:t xml:space="preserve">only </w:t>
      </w:r>
      <w:r w:rsidR="006A5AB3" w:rsidRPr="00EA7133">
        <w:t>on the matching/identification tasks</w:t>
      </w:r>
      <w:r w:rsidR="00076816" w:rsidRPr="00EA7133">
        <w:t xml:space="preserve"> </w:t>
      </w:r>
      <w:r w:rsidR="006A5AB3" w:rsidRPr="00EA7133">
        <w:t>instead of</w:t>
      </w:r>
      <w:r w:rsidR="00B27178" w:rsidRPr="00EA7133">
        <w:t xml:space="preserve"> bringing their</w:t>
      </w:r>
      <w:r w:rsidR="00076816" w:rsidRPr="00EA7133">
        <w:t xml:space="preserve"> avatar</w:t>
      </w:r>
      <w:r w:rsidR="00B27178" w:rsidRPr="00EA7133">
        <w:t>s</w:t>
      </w:r>
      <w:r w:rsidR="00535C6E" w:rsidRPr="00EA7133">
        <w:t xml:space="preserve"> to </w:t>
      </w:r>
      <w:r w:rsidR="006A5AB3" w:rsidRPr="00EA7133">
        <w:t>the same room</w:t>
      </w:r>
      <w:r w:rsidR="00535C6E" w:rsidRPr="00EA7133">
        <w:t xml:space="preserve"> with the computer player</w:t>
      </w:r>
      <w:r w:rsidR="006A5AB3" w:rsidRPr="00EA7133">
        <w:t>.</w:t>
      </w:r>
    </w:p>
    <w:p w14:paraId="658464CA" w14:textId="6983BE27" w:rsidR="002329C7" w:rsidRDefault="00672AD6" w:rsidP="00663715">
      <w:pPr>
        <w:ind w:firstLine="221"/>
        <w:rPr>
          <w:lang w:eastAsia="ja-JP"/>
        </w:rPr>
      </w:pPr>
      <w:r w:rsidRPr="00EA7133">
        <w:rPr>
          <w:lang w:eastAsia="ja-JP"/>
        </w:rPr>
        <w:t xml:space="preserve">Participants </w:t>
      </w:r>
      <w:r w:rsidR="001C1F4D" w:rsidRPr="00EA7133">
        <w:rPr>
          <w:lang w:eastAsia="ja-JP"/>
        </w:rPr>
        <w:t xml:space="preserve">performed </w:t>
      </w:r>
      <w:r w:rsidR="00B824AF" w:rsidRPr="00EA7133">
        <w:rPr>
          <w:lang w:eastAsia="ja-JP"/>
        </w:rPr>
        <w:t xml:space="preserve">well </w:t>
      </w:r>
      <w:r w:rsidRPr="00EA7133">
        <w:rPr>
          <w:lang w:eastAsia="ja-JP"/>
        </w:rPr>
        <w:t xml:space="preserve">in the two tasks. </w:t>
      </w:r>
      <w:r w:rsidR="00535C6E" w:rsidRPr="00EA7133">
        <w:rPr>
          <w:lang w:eastAsia="ja-JP"/>
        </w:rPr>
        <w:t>The accuracy rate for m</w:t>
      </w:r>
      <w:r w:rsidRPr="00EA7133">
        <w:rPr>
          <w:lang w:eastAsia="ja-JP"/>
        </w:rPr>
        <w:t xml:space="preserve">ost participants </w:t>
      </w:r>
      <w:r w:rsidR="00535C6E" w:rsidRPr="00EA7133">
        <w:rPr>
          <w:lang w:eastAsia="ja-JP"/>
        </w:rPr>
        <w:t xml:space="preserve">had been near perfect in both </w:t>
      </w:r>
      <w:r w:rsidR="001611DB" w:rsidRPr="00EA7133">
        <w:rPr>
          <w:lang w:eastAsia="ja-JP"/>
        </w:rPr>
        <w:t xml:space="preserve">of </w:t>
      </w:r>
      <w:r w:rsidR="00535C6E" w:rsidRPr="00EA7133">
        <w:rPr>
          <w:lang w:eastAsia="ja-JP"/>
        </w:rPr>
        <w:t>matching task (M</w:t>
      </w:r>
      <w:r w:rsidR="00AF26ED" w:rsidRPr="00EA7133">
        <w:rPr>
          <w:lang w:eastAsia="ja-JP"/>
        </w:rPr>
        <w:t xml:space="preserve"> </w:t>
      </w:r>
      <w:r w:rsidR="00535C6E" w:rsidRPr="00EA7133">
        <w:rPr>
          <w:lang w:eastAsia="ja-JP"/>
        </w:rPr>
        <w:t>=</w:t>
      </w:r>
      <w:r w:rsidR="00AF26ED" w:rsidRPr="00EA7133">
        <w:rPr>
          <w:lang w:eastAsia="ja-JP"/>
        </w:rPr>
        <w:t xml:space="preserve"> </w:t>
      </w:r>
      <w:r w:rsidR="00535C6E" w:rsidRPr="00EA7133">
        <w:rPr>
          <w:lang w:eastAsia="ja-JP"/>
        </w:rPr>
        <w:t>97.60%, SD</w:t>
      </w:r>
      <w:r w:rsidR="00AF26ED" w:rsidRPr="00EA7133">
        <w:rPr>
          <w:lang w:eastAsia="ja-JP"/>
        </w:rPr>
        <w:t xml:space="preserve"> </w:t>
      </w:r>
      <w:r w:rsidR="00535C6E" w:rsidRPr="00EA7133">
        <w:rPr>
          <w:lang w:eastAsia="ja-JP"/>
        </w:rPr>
        <w:t>=</w:t>
      </w:r>
      <w:r w:rsidR="00AF26ED" w:rsidRPr="00EA7133">
        <w:rPr>
          <w:lang w:eastAsia="ja-JP"/>
        </w:rPr>
        <w:t xml:space="preserve"> </w:t>
      </w:r>
      <w:r w:rsidR="00535C6E" w:rsidRPr="00EA7133">
        <w:rPr>
          <w:lang w:eastAsia="ja-JP"/>
        </w:rPr>
        <w:t>6.11%) and identification task (M</w:t>
      </w:r>
      <w:r w:rsidR="00AF26ED" w:rsidRPr="00EA7133">
        <w:rPr>
          <w:lang w:eastAsia="ja-JP"/>
        </w:rPr>
        <w:t xml:space="preserve"> </w:t>
      </w:r>
      <w:r w:rsidR="00535C6E" w:rsidRPr="00EA7133">
        <w:rPr>
          <w:lang w:eastAsia="ja-JP"/>
        </w:rPr>
        <w:t>=</w:t>
      </w:r>
      <w:r w:rsidR="00AF26ED" w:rsidRPr="00EA7133">
        <w:rPr>
          <w:lang w:eastAsia="ja-JP"/>
        </w:rPr>
        <w:t xml:space="preserve"> </w:t>
      </w:r>
      <w:r w:rsidR="00535C6E" w:rsidRPr="00EA7133">
        <w:rPr>
          <w:lang w:eastAsia="ja-JP"/>
        </w:rPr>
        <w:t>93.02%, SD</w:t>
      </w:r>
      <w:r w:rsidR="00AF26ED" w:rsidRPr="00EA7133">
        <w:rPr>
          <w:lang w:eastAsia="ja-JP"/>
        </w:rPr>
        <w:t xml:space="preserve"> </w:t>
      </w:r>
      <w:r w:rsidR="00535C6E" w:rsidRPr="00EA7133">
        <w:rPr>
          <w:lang w:eastAsia="ja-JP"/>
        </w:rPr>
        <w:t>=</w:t>
      </w:r>
      <w:r w:rsidR="00AF26ED" w:rsidRPr="00EA7133">
        <w:rPr>
          <w:lang w:eastAsia="ja-JP"/>
        </w:rPr>
        <w:t xml:space="preserve"> </w:t>
      </w:r>
      <w:r w:rsidR="00535C6E" w:rsidRPr="00EA7133">
        <w:rPr>
          <w:lang w:eastAsia="ja-JP"/>
        </w:rPr>
        <w:t>16.60%)</w:t>
      </w:r>
      <w:r w:rsidR="008440AF" w:rsidRPr="00EA7133">
        <w:rPr>
          <w:lang w:eastAsia="ja-JP"/>
        </w:rPr>
        <w:t>, showing that the participants were well-involved in the memory demanding tasks</w:t>
      </w:r>
      <w:r w:rsidR="00637BC3" w:rsidRPr="00EA7133">
        <w:rPr>
          <w:lang w:eastAsia="ja-JP"/>
        </w:rPr>
        <w:t xml:space="preserve">. Meanwhile, the met-rate </w:t>
      </w:r>
      <w:r w:rsidR="00535C6E" w:rsidRPr="00EA7133">
        <w:rPr>
          <w:lang w:eastAsia="ja-JP"/>
        </w:rPr>
        <w:t xml:space="preserve">in the SG </w:t>
      </w:r>
      <w:r w:rsidR="00637BC3" w:rsidRPr="00EA7133">
        <w:rPr>
          <w:lang w:eastAsia="ja-JP"/>
        </w:rPr>
        <w:t>was at chance level (</w:t>
      </w:r>
      <w:r w:rsidR="00535C6E" w:rsidRPr="00EA7133">
        <w:rPr>
          <w:lang w:eastAsia="ja-JP"/>
        </w:rPr>
        <w:t>M</w:t>
      </w:r>
      <w:r w:rsidR="00AF26ED" w:rsidRPr="00EA7133">
        <w:rPr>
          <w:lang w:eastAsia="ja-JP"/>
        </w:rPr>
        <w:t xml:space="preserve"> </w:t>
      </w:r>
      <w:r w:rsidR="00535C6E" w:rsidRPr="00EA7133">
        <w:rPr>
          <w:lang w:eastAsia="ja-JP"/>
        </w:rPr>
        <w:t>=</w:t>
      </w:r>
      <w:r w:rsidR="00AF26ED" w:rsidRPr="00EA7133">
        <w:rPr>
          <w:lang w:eastAsia="ja-JP"/>
        </w:rPr>
        <w:t xml:space="preserve"> </w:t>
      </w:r>
      <w:r w:rsidR="00535C6E" w:rsidRPr="00EA7133">
        <w:rPr>
          <w:lang w:eastAsia="ja-JP"/>
        </w:rPr>
        <w:t>24.58%, SD</w:t>
      </w:r>
      <w:r w:rsidR="00AF26ED" w:rsidRPr="00EA7133">
        <w:rPr>
          <w:lang w:eastAsia="ja-JP"/>
        </w:rPr>
        <w:t xml:space="preserve"> </w:t>
      </w:r>
      <w:r w:rsidR="00535C6E" w:rsidRPr="00EA7133">
        <w:rPr>
          <w:lang w:eastAsia="ja-JP"/>
        </w:rPr>
        <w:t>=</w:t>
      </w:r>
      <w:r w:rsidR="00AF26ED" w:rsidRPr="00EA7133">
        <w:rPr>
          <w:lang w:eastAsia="ja-JP"/>
        </w:rPr>
        <w:t xml:space="preserve"> </w:t>
      </w:r>
      <w:r w:rsidR="00535C6E" w:rsidRPr="00EA7133">
        <w:rPr>
          <w:lang w:eastAsia="ja-JP"/>
        </w:rPr>
        <w:t>6.71%</w:t>
      </w:r>
      <w:r w:rsidR="008440AF" w:rsidRPr="00EA7133">
        <w:rPr>
          <w:lang w:eastAsia="ja-JP"/>
        </w:rPr>
        <w:t>; chance level</w:t>
      </w:r>
      <w:r w:rsidR="00AF26ED" w:rsidRPr="00EA7133">
        <w:rPr>
          <w:lang w:eastAsia="ja-JP"/>
        </w:rPr>
        <w:t xml:space="preserve"> </w:t>
      </w:r>
      <w:r w:rsidR="008440AF" w:rsidRPr="00EA7133">
        <w:rPr>
          <w:lang w:eastAsia="ja-JP"/>
        </w:rPr>
        <w:t>=</w:t>
      </w:r>
      <w:r w:rsidR="00AF26ED" w:rsidRPr="00EA7133">
        <w:rPr>
          <w:lang w:eastAsia="ja-JP"/>
        </w:rPr>
        <w:t xml:space="preserve"> </w:t>
      </w:r>
      <w:r w:rsidR="008440AF" w:rsidRPr="00EA7133">
        <w:rPr>
          <w:lang w:eastAsia="ja-JP"/>
        </w:rPr>
        <w:t>22.22%</w:t>
      </w:r>
      <w:r w:rsidR="00637BC3" w:rsidRPr="00EA7133">
        <w:rPr>
          <w:lang w:eastAsia="ja-JP"/>
        </w:rPr>
        <w:t>)</w:t>
      </w:r>
      <w:r w:rsidR="008440AF" w:rsidRPr="00EA7133">
        <w:rPr>
          <w:lang w:eastAsia="ja-JP"/>
        </w:rPr>
        <w:t>, showing that accidental symbolic communication systems were unlikely to exist</w:t>
      </w:r>
      <w:r w:rsidR="00637BC3" w:rsidRPr="00EA7133">
        <w:rPr>
          <w:lang w:eastAsia="ja-JP"/>
        </w:rPr>
        <w:t>.</w:t>
      </w:r>
    </w:p>
    <w:p w14:paraId="5D023460" w14:textId="38A03E89" w:rsidR="00663715" w:rsidRDefault="00663715" w:rsidP="002329C7"/>
    <w:p w14:paraId="70B6F80A" w14:textId="0E3841CF" w:rsidR="00663715" w:rsidRPr="00304552" w:rsidRDefault="001611DB" w:rsidP="00663715">
      <w:pPr>
        <w:ind w:firstLine="221"/>
        <w:outlineLvl w:val="0"/>
        <w:rPr>
          <w:b/>
        </w:rPr>
      </w:pPr>
      <w:bookmarkStart w:id="1" w:name="OLE_LINK1"/>
      <w:bookmarkStart w:id="2" w:name="OLE_LINK2"/>
      <w:r w:rsidRPr="00EA7133">
        <w:rPr>
          <w:b/>
        </w:rPr>
        <w:t xml:space="preserve">A2. </w:t>
      </w:r>
      <w:r w:rsidR="00663715" w:rsidRPr="00EA7133">
        <w:rPr>
          <w:b/>
        </w:rPr>
        <w:t>Role</w:t>
      </w:r>
      <w:r w:rsidR="00663715">
        <w:rPr>
          <w:b/>
        </w:rPr>
        <w:t>-division in the CCG</w:t>
      </w:r>
    </w:p>
    <w:bookmarkEnd w:id="1"/>
    <w:bookmarkEnd w:id="2"/>
    <w:p w14:paraId="365687F4" w14:textId="77777777" w:rsidR="00663715" w:rsidRPr="0046494C" w:rsidRDefault="00663715" w:rsidP="00663715">
      <w:pPr>
        <w:rPr>
          <w:b/>
          <w:bCs/>
          <w:sz w:val="22"/>
          <w:szCs w:val="22"/>
          <w:lang w:eastAsia="ja-JP"/>
        </w:rPr>
      </w:pPr>
    </w:p>
    <w:p w14:paraId="30AA59E8" w14:textId="0FFDC8CB" w:rsidR="00663715" w:rsidRDefault="00663715" w:rsidP="00663715">
      <w:pPr>
        <w:ind w:firstLine="221"/>
      </w:pPr>
      <w:r>
        <w:t xml:space="preserve">In the CCG, paired participants need to develop symbolic communication systems to communicate with each other. </w:t>
      </w:r>
      <w:r w:rsidR="00C60B2D">
        <w:t>Better</w:t>
      </w:r>
      <w:r>
        <w:t xml:space="preserve"> performance </w:t>
      </w:r>
      <w:r w:rsidR="00C60B2D">
        <w:t>was achievable</w:t>
      </w:r>
      <w:r>
        <w:t xml:space="preserve"> by successful communication of both denotative and connotative meanings</w:t>
      </w:r>
      <w:r w:rsidR="000C006B">
        <w:t>, the latter of which refers to the implied meaning</w:t>
      </w:r>
      <w:r w:rsidR="00C60B2D">
        <w:t xml:space="preserve"> of a message </w:t>
      </w:r>
      <w:r w:rsidR="0070237D">
        <w:t>related to</w:t>
      </w:r>
      <w:r w:rsidR="00C60B2D" w:rsidRPr="00C60B2D">
        <w:t xml:space="preserve"> the </w:t>
      </w:r>
      <w:r w:rsidR="00C349CA">
        <w:t>sending order</w:t>
      </w:r>
      <w:r>
        <w:t>.</w:t>
      </w:r>
      <w:r w:rsidR="00587903">
        <w:t xml:space="preserve"> Critically, </w:t>
      </w:r>
      <w:r w:rsidR="00587903" w:rsidRPr="00587903">
        <w:t>an optimal solution to the CCG is to send one’s own starting location when acting as the first sender, while sending the intended meeting location when acting as the second sender. With such role-division, even the same figure would imply different connotative meanings</w:t>
      </w:r>
      <w:r w:rsidR="003118B4">
        <w:t>.</w:t>
      </w:r>
    </w:p>
    <w:p w14:paraId="0A05CE4D" w14:textId="0763C0AA" w:rsidR="00C349CA" w:rsidRDefault="008F0F11" w:rsidP="00663715">
      <w:pPr>
        <w:ind w:firstLine="221"/>
      </w:pPr>
      <w:r>
        <w:t>Different from</w:t>
      </w:r>
      <w:r w:rsidR="00A84F38">
        <w:t xml:space="preserve"> the SG</w:t>
      </w:r>
      <w:r w:rsidR="00D9166C">
        <w:t xml:space="preserve">, the </w:t>
      </w:r>
      <w:r>
        <w:t xml:space="preserve">sending order was not predefined but </w:t>
      </w:r>
      <w:r w:rsidR="00D9166C">
        <w:t xml:space="preserve">determined by </w:t>
      </w:r>
      <w:r>
        <w:t xml:space="preserve">the participants </w:t>
      </w:r>
      <w:r w:rsidR="00D9166C">
        <w:t>in each round. T</w:t>
      </w:r>
      <w:r w:rsidR="00663715">
        <w:t xml:space="preserve">he participant who sent </w:t>
      </w:r>
      <w:r w:rsidR="001611DB" w:rsidRPr="00EA7133">
        <w:t xml:space="preserve">the </w:t>
      </w:r>
      <w:r w:rsidR="00663715" w:rsidRPr="00EA7133">
        <w:t xml:space="preserve">figure </w:t>
      </w:r>
      <w:r w:rsidR="00D9166C" w:rsidRPr="00EA7133">
        <w:t>faster</w:t>
      </w:r>
      <w:r w:rsidR="00663715" w:rsidRPr="00EA7133">
        <w:t xml:space="preserve"> became the first sender, and then the other participant became the second sender, whose </w:t>
      </w:r>
      <w:r w:rsidR="001611DB" w:rsidRPr="00EA7133">
        <w:t>message-</w:t>
      </w:r>
      <w:r w:rsidR="00663715" w:rsidRPr="00EA7133">
        <w:t>composing process would be interrupted by the display of the first sender’s message.</w:t>
      </w:r>
      <w:r w:rsidR="00216F95" w:rsidRPr="00EA7133">
        <w:t xml:space="preserve"> It was impossible for both participants to </w:t>
      </w:r>
      <w:r w:rsidRPr="00EA7133">
        <w:t>send at the same time</w:t>
      </w:r>
      <w:r w:rsidR="00216F95" w:rsidRPr="00EA7133">
        <w:t>, since the computer</w:t>
      </w:r>
      <w:r w:rsidR="001611DB" w:rsidRPr="00EA7133">
        <w:t xml:space="preserve"> server</w:t>
      </w:r>
      <w:r w:rsidR="00216F95" w:rsidRPr="00EA7133">
        <w:t xml:space="preserve"> processed data from one side at a time.</w:t>
      </w:r>
      <w:r w:rsidR="00C349CA" w:rsidRPr="00EA7133">
        <w:rPr>
          <w:rFonts w:hint="eastAsia"/>
        </w:rPr>
        <w:t xml:space="preserve"> </w:t>
      </w:r>
      <w:r w:rsidR="002F33AB" w:rsidRPr="00EA7133">
        <w:t>After a role-division</w:t>
      </w:r>
      <w:r w:rsidR="00D16B87" w:rsidRPr="00EA7133">
        <w:t>, one</w:t>
      </w:r>
      <w:r w:rsidR="002F33AB" w:rsidRPr="00EA7133">
        <w:t xml:space="preserve"> expected to play the first sender role</w:t>
      </w:r>
      <w:r w:rsidR="00D16B87" w:rsidRPr="00EA7133">
        <w:t xml:space="preserve"> </w:t>
      </w:r>
      <w:r w:rsidR="0070237D" w:rsidRPr="00EA7133">
        <w:t>had</w:t>
      </w:r>
      <w:r w:rsidR="00D16B87" w:rsidRPr="00EA7133">
        <w:t xml:space="preserve"> to send figure as fast as possible. However, since the participant on the other side could </w:t>
      </w:r>
      <w:r w:rsidR="00F42A50" w:rsidRPr="00EA7133">
        <w:t xml:space="preserve">just </w:t>
      </w:r>
      <w:r w:rsidR="00D16B87" w:rsidRPr="00EA7133">
        <w:t xml:space="preserve">be faster, the </w:t>
      </w:r>
      <w:r w:rsidR="0070237D" w:rsidRPr="00EA7133">
        <w:t xml:space="preserve">expected </w:t>
      </w:r>
      <w:r w:rsidR="00D16B87" w:rsidRPr="00EA7133">
        <w:t>role could not be guaranteed except that both sides reached some kind</w:t>
      </w:r>
      <w:r w:rsidR="00D16B87">
        <w:t xml:space="preserve"> of agreement on that point, which was only observed in very limited cases.</w:t>
      </w:r>
    </w:p>
    <w:p w14:paraId="768BEAAD" w14:textId="77777777" w:rsidR="00663715" w:rsidRPr="00ED006E" w:rsidRDefault="00663715" w:rsidP="002329C7"/>
    <w:p w14:paraId="49C6D48D" w14:textId="5187CA44" w:rsidR="00E9745F" w:rsidRPr="00304552" w:rsidRDefault="001611DB" w:rsidP="00E9745F">
      <w:pPr>
        <w:ind w:firstLine="221"/>
        <w:outlineLvl w:val="0"/>
        <w:rPr>
          <w:b/>
        </w:rPr>
      </w:pPr>
      <w:r w:rsidRPr="00EA7133">
        <w:rPr>
          <w:b/>
        </w:rPr>
        <w:t xml:space="preserve">A3. </w:t>
      </w:r>
      <w:r w:rsidR="00116BAB" w:rsidRPr="00EA7133">
        <w:rPr>
          <w:b/>
        </w:rPr>
        <w:t>M</w:t>
      </w:r>
      <w:r w:rsidR="001F120E">
        <w:rPr>
          <w:b/>
        </w:rPr>
        <w:t>easuring mu-suppression</w:t>
      </w:r>
    </w:p>
    <w:p w14:paraId="6BD50E58" w14:textId="77777777" w:rsidR="00E9745F" w:rsidRPr="0046494C" w:rsidRDefault="00E9745F" w:rsidP="00E9745F">
      <w:pPr>
        <w:rPr>
          <w:b/>
          <w:bCs/>
          <w:sz w:val="22"/>
          <w:szCs w:val="22"/>
          <w:lang w:eastAsia="ja-JP"/>
        </w:rPr>
      </w:pPr>
    </w:p>
    <w:p w14:paraId="78B3D142" w14:textId="31E495FC" w:rsidR="00116BAB" w:rsidRDefault="00116BAB" w:rsidP="00E9745F">
      <w:pPr>
        <w:ind w:firstLine="221"/>
      </w:pPr>
      <w:r>
        <w:rPr>
          <w:rFonts w:cs="AdvP41153C"/>
          <w:color w:val="231F20"/>
          <w:szCs w:val="20"/>
        </w:rPr>
        <w:t xml:space="preserve">We analyzed </w:t>
      </w:r>
      <w:r w:rsidRPr="00304552">
        <w:rPr>
          <w:rFonts w:cs="AdvP41153C"/>
          <w:color w:val="231F20"/>
          <w:szCs w:val="20"/>
        </w:rPr>
        <w:t xml:space="preserve">EEG data </w:t>
      </w:r>
      <w:r>
        <w:rPr>
          <w:rFonts w:cs="AdvP41153C"/>
          <w:color w:val="231F20"/>
          <w:szCs w:val="20"/>
        </w:rPr>
        <w:t>in MATLAB R2016a</w:t>
      </w:r>
      <w:r w:rsidR="00E856B1">
        <w:rPr>
          <w:rFonts w:cs="AdvP41153C"/>
          <w:color w:val="231F20"/>
          <w:szCs w:val="20"/>
        </w:rPr>
        <w:t>.</w:t>
      </w:r>
      <w:r>
        <w:rPr>
          <w:rFonts w:cs="AdvP41153C"/>
          <w:color w:val="231F20"/>
          <w:szCs w:val="20"/>
        </w:rPr>
        <w:t xml:space="preserve"> </w:t>
      </w:r>
      <w:r w:rsidR="00E856B1">
        <w:rPr>
          <w:rFonts w:cs="AdvP41153C"/>
          <w:color w:val="231F20"/>
          <w:szCs w:val="20"/>
        </w:rPr>
        <w:t xml:space="preserve">The </w:t>
      </w:r>
      <w:r>
        <w:rPr>
          <w:rFonts w:cs="AdvP41153C"/>
          <w:color w:val="231F20"/>
          <w:szCs w:val="20"/>
        </w:rPr>
        <w:t>raw data</w:t>
      </w:r>
      <w:r w:rsidR="00E856B1">
        <w:rPr>
          <w:rFonts w:cs="AdvP41153C"/>
          <w:color w:val="231F20"/>
          <w:szCs w:val="20"/>
        </w:rPr>
        <w:t xml:space="preserve"> </w:t>
      </w:r>
      <w:r w:rsidR="001611DB" w:rsidRPr="00EA7133">
        <w:rPr>
          <w:rFonts w:cs="AdvP41153C"/>
          <w:color w:val="231F20"/>
          <w:szCs w:val="20"/>
        </w:rPr>
        <w:t>were</w:t>
      </w:r>
      <w:r w:rsidR="001611DB">
        <w:rPr>
          <w:rFonts w:cs="AdvP41153C"/>
          <w:color w:val="231F20"/>
          <w:szCs w:val="20"/>
        </w:rPr>
        <w:t xml:space="preserve"> </w:t>
      </w:r>
      <w:r w:rsidR="00E856B1">
        <w:rPr>
          <w:rFonts w:cs="AdvP41153C"/>
          <w:color w:val="231F20"/>
          <w:szCs w:val="20"/>
        </w:rPr>
        <w:t>preprocessed</w:t>
      </w:r>
      <w:r>
        <w:rPr>
          <w:rFonts w:cs="AdvP41153C"/>
          <w:color w:val="231F20"/>
          <w:szCs w:val="20"/>
        </w:rPr>
        <w:t xml:space="preserve"> with </w:t>
      </w:r>
      <w:r w:rsidRPr="00304552">
        <w:rPr>
          <w:rFonts w:cs="AdvP41153C"/>
          <w:color w:val="231F20"/>
          <w:szCs w:val="20"/>
        </w:rPr>
        <w:t>EEGLAB toolbo</w:t>
      </w:r>
      <w:r>
        <w:rPr>
          <w:rFonts w:cs="AdvP41153C"/>
          <w:color w:val="231F20"/>
          <w:szCs w:val="20"/>
        </w:rPr>
        <w:t>x</w:t>
      </w:r>
      <w:r>
        <w:rPr>
          <w:rStyle w:val="af4"/>
          <w:rFonts w:cs="AdvP41153C"/>
          <w:color w:val="231F20"/>
          <w:szCs w:val="20"/>
        </w:rPr>
        <w:footnoteReference w:id="1"/>
      </w:r>
      <w:r>
        <w:rPr>
          <w:rFonts w:cs="AdvP41153C"/>
          <w:color w:val="231F20"/>
          <w:szCs w:val="20"/>
        </w:rPr>
        <w:t xml:space="preserve">, </w:t>
      </w:r>
      <w:r w:rsidRPr="00304552">
        <w:rPr>
          <w:rFonts w:cs="AdvP41153C"/>
          <w:color w:val="231F20"/>
          <w:szCs w:val="20"/>
        </w:rPr>
        <w:t>including 1</w:t>
      </w:r>
      <w:r>
        <w:rPr>
          <w:rFonts w:cs="AdvP41153C"/>
          <w:color w:val="231F20"/>
          <w:szCs w:val="20"/>
        </w:rPr>
        <w:t>-</w:t>
      </w:r>
      <w:r w:rsidRPr="00304552">
        <w:rPr>
          <w:rFonts w:cs="AdvP41153C"/>
          <w:color w:val="231F20"/>
          <w:szCs w:val="20"/>
        </w:rPr>
        <w:t>Hz high-pass and 70</w:t>
      </w:r>
      <w:r>
        <w:rPr>
          <w:rFonts w:cs="AdvP41153C"/>
          <w:color w:val="231F20"/>
          <w:szCs w:val="20"/>
        </w:rPr>
        <w:t>-</w:t>
      </w:r>
      <w:r w:rsidRPr="00304552">
        <w:rPr>
          <w:rFonts w:cs="AdvP41153C"/>
          <w:color w:val="231F20"/>
          <w:szCs w:val="20"/>
        </w:rPr>
        <w:t>Hz low-pass filtering, common average re-referencing, and independent</w:t>
      </w:r>
      <w:r>
        <w:rPr>
          <w:rFonts w:cs="AdvP41153C"/>
          <w:color w:val="231F20"/>
          <w:szCs w:val="20"/>
        </w:rPr>
        <w:t>-</w:t>
      </w:r>
      <w:r w:rsidRPr="00304552">
        <w:rPr>
          <w:rFonts w:cs="AdvP41153C"/>
          <w:color w:val="231F20"/>
          <w:szCs w:val="20"/>
        </w:rPr>
        <w:t>component</w:t>
      </w:r>
      <w:r>
        <w:rPr>
          <w:rFonts w:cs="AdvP41153C"/>
          <w:color w:val="231F20"/>
          <w:szCs w:val="20"/>
        </w:rPr>
        <w:t>-</w:t>
      </w:r>
      <w:r w:rsidRPr="00304552">
        <w:rPr>
          <w:rFonts w:cs="AdvP41153C"/>
          <w:color w:val="231F20"/>
          <w:szCs w:val="20"/>
        </w:rPr>
        <w:t xml:space="preserve">analysis (ICA)-based artifact removal via SASICA </w:t>
      </w:r>
      <w:r w:rsidRPr="00304552">
        <w:rPr>
          <w:rFonts w:cs="AdvP41153C"/>
          <w:color w:val="231F20"/>
          <w:szCs w:val="20"/>
        </w:rPr>
        <w:fldChar w:fldCharType="begin" w:fldLock="1"/>
      </w:r>
      <w:r w:rsidRPr="00304552">
        <w:rPr>
          <w:rFonts w:cs="AdvP41153C"/>
          <w:color w:val="231F20"/>
          <w:szCs w:val="20"/>
        </w:rPr>
        <w:instrText>ADDIN CSL_CITATION { "citationItems" : [ { "id" : "ITEM-1", "itemData" : { "DOI" : "10.1016/j.jneumeth.2015.02.025", "ISBN" : "01650270 (ISSN)", "ISSN" : "1872678X", "PMID" : "25791012", "abstract" : "Background: Electroencephalographic data are easily contaminated by signals of non-neural origin. Independent component analysis (ICA) can help correct EEG data for such artifacts. Artifact independent components (ICs) can be identified by experts via visual inspection. But artifact features are sometimes ambiguous or difficult to notice, and even experts may disagree about how to categorise a particular component. It is therefore important to inform users on artifact properties, and give them the opportunity to intervene. New Method: Here we first describe artifacts captured by ICA. We review current methods to automatically select artifactual components for rejection, and introduce the SASICA software, implementing several novel selection algorithms as well as two previously described automated methods (ADJUST, Mognon et al. Psychophysiology 2011;48(2):229; and FASTER, Nolan et al. J Neurosci Methods 2010;48(1):152). Results: We evaluate these algorithms by comparing selections suggested by SASICA and other methods to manual rejections by experts. The results show that these methods can inform observers to improve rejections. However, no automated method can accurately isolate artifacts without supervision. The comprehensive and interactive plots produced by SASICA therefore constitute a helpful guide for human users for making final decisions. Conclusions: Rejecting ICs before EEG data analysis unavoidably requires some level of supervision. SASICA offers observers detailed information to guide selection of artifact ICs. Because it uses quantitative parameters and thresholds, it improves objectivity and reproducibility in reporting pre-processing procedures. SASICA is also a didactic tool that allows users to quickly understand what signal features captured by ICs make them likely to reflect artifacts.", "author" : [ { "dropping-particle" : "", "family" : "Chaumon", "given" : "Maximilien", "non-dropping-particle" : "", "parse-names" : false, "suffix" : "" }, { "dropping-particle" : "", "family" : "Bishop", "given" : "Dorothy V M", "non-dropping-particle" : "", "parse-names" : false, "suffix" : "" }, { "dropping-particle" : "", "family" : "Busch", "given" : "Niko A.", "non-dropping-particle" : "", "parse-names" : false, "suffix" : "" } ], "container-title" : "Journal of Neuroscience Methods", "id" : "ITEM-1", "issued" : { "date-parts" : [ [ "2015" ] ] }, "page" : "47-63", "publisher" : "Elsevier B.V.", "title" : "A practical guide to the selection of independent components of the electroencephalogram for artifact correction", "type" : "article-journal", "volume" : "250" }, "uris" : [ "http://www.mendeley.com/documents/?uuid=60232c39-9abe-4fb7-b6a0-b10927834d6d" ] } ], "mendeley" : { "formattedCitation" : "(Chaumon, Bishop, &amp; Busch, 2015)", "plainTextFormattedCitation" : "(Chaumon, Bishop, &amp; Busch, 2015)", "previouslyFormattedCitation" : "(Chaumon, Bishop, &amp; Busch, 2015)" }, "properties" : { "noteIndex" : 0 }, "schema" : "https://github.com/citation-style-language/schema/raw/master/csl-citation.json" }</w:instrText>
      </w:r>
      <w:r w:rsidRPr="00304552">
        <w:rPr>
          <w:rFonts w:cs="AdvP41153C"/>
          <w:color w:val="231F20"/>
          <w:szCs w:val="20"/>
        </w:rPr>
        <w:fldChar w:fldCharType="separate"/>
      </w:r>
      <w:r w:rsidRPr="00304552">
        <w:rPr>
          <w:rFonts w:cs="AdvP41153C"/>
          <w:color w:val="231F20"/>
          <w:szCs w:val="20"/>
        </w:rPr>
        <w:t>(Chaumon, Bishop, &amp; Busch, 2015)</w:t>
      </w:r>
      <w:r w:rsidRPr="00304552">
        <w:rPr>
          <w:rFonts w:cs="AdvP41153C"/>
          <w:color w:val="231F20"/>
          <w:szCs w:val="20"/>
        </w:rPr>
        <w:fldChar w:fldCharType="end"/>
      </w:r>
      <w:r w:rsidRPr="00304552">
        <w:rPr>
          <w:rFonts w:cs="AdvP41153C"/>
          <w:color w:val="231F20"/>
          <w:szCs w:val="20"/>
        </w:rPr>
        <w:t>.</w:t>
      </w:r>
      <w:r>
        <w:rPr>
          <w:rFonts w:cs="AdvP41153C"/>
          <w:color w:val="231F20"/>
          <w:szCs w:val="20"/>
        </w:rPr>
        <w:t xml:space="preserve"> We selected</w:t>
      </w:r>
      <w:r w:rsidRPr="00304552">
        <w:rPr>
          <w:rFonts w:cs="AdvP41153C"/>
          <w:color w:val="231F20"/>
          <w:szCs w:val="20"/>
        </w:rPr>
        <w:t xml:space="preserve"> 4</w:t>
      </w:r>
      <w:r>
        <w:rPr>
          <w:rFonts w:cs="AdvP41153C"/>
          <w:color w:val="231F20"/>
          <w:szCs w:val="20"/>
        </w:rPr>
        <w:t>-</w:t>
      </w:r>
      <w:r w:rsidRPr="00304552">
        <w:rPr>
          <w:rFonts w:cs="AdvP41153C"/>
          <w:color w:val="231F20"/>
          <w:szCs w:val="20"/>
        </w:rPr>
        <w:t xml:space="preserve">s epochs </w:t>
      </w:r>
      <w:r>
        <w:rPr>
          <w:rFonts w:cs="AdvP41153C"/>
          <w:color w:val="231F20"/>
          <w:szCs w:val="20"/>
        </w:rPr>
        <w:t>(</w:t>
      </w:r>
      <w:r w:rsidRPr="00304552">
        <w:rPr>
          <w:rFonts w:cs="AdvP41153C"/>
          <w:color w:val="231F20"/>
          <w:szCs w:val="20"/>
        </w:rPr>
        <w:t>-1.5</w:t>
      </w:r>
      <w:bookmarkStart w:id="3" w:name="_Hlk494796131"/>
      <w:r>
        <w:rPr>
          <w:rFonts w:cs="AdvP41153C"/>
          <w:color w:val="231F20"/>
          <w:szCs w:val="20"/>
        </w:rPr>
        <w:t>–</w:t>
      </w:r>
      <w:bookmarkEnd w:id="3"/>
      <w:r w:rsidRPr="00304552">
        <w:rPr>
          <w:rFonts w:cs="AdvP41153C"/>
          <w:color w:val="231F20"/>
          <w:szCs w:val="20"/>
        </w:rPr>
        <w:t xml:space="preserve">2.5 s corresponding to </w:t>
      </w:r>
      <w:r>
        <w:rPr>
          <w:rFonts w:cs="AdvP41153C"/>
          <w:color w:val="231F20"/>
          <w:szCs w:val="20"/>
        </w:rPr>
        <w:t>all events) and performed t</w:t>
      </w:r>
      <w:r w:rsidRPr="00304552">
        <w:rPr>
          <w:rFonts w:cs="AdvP41153C"/>
          <w:color w:val="231F20"/>
          <w:szCs w:val="20"/>
        </w:rPr>
        <w:t xml:space="preserve">ime-frequency analysis with five-cycle wavelets in </w:t>
      </w:r>
      <w:proofErr w:type="spellStart"/>
      <w:r w:rsidRPr="00304552">
        <w:rPr>
          <w:rFonts w:cs="AdvP41153C"/>
          <w:color w:val="231F20"/>
          <w:szCs w:val="20"/>
        </w:rPr>
        <w:t>FieldTrip</w:t>
      </w:r>
      <w:proofErr w:type="spellEnd"/>
      <w:r w:rsidRPr="00304552">
        <w:rPr>
          <w:rFonts w:cs="AdvP41153C"/>
          <w:color w:val="231F20"/>
          <w:szCs w:val="20"/>
        </w:rPr>
        <w:t xml:space="preserve"> toolbox</w:t>
      </w:r>
      <w:r>
        <w:rPr>
          <w:rStyle w:val="af4"/>
          <w:rFonts w:cs="AdvP41153C"/>
          <w:color w:val="231F20"/>
          <w:szCs w:val="20"/>
        </w:rPr>
        <w:footnoteReference w:id="2"/>
      </w:r>
      <w:r>
        <w:rPr>
          <w:rFonts w:cs="AdvP41153C"/>
          <w:color w:val="231F20"/>
          <w:szCs w:val="20"/>
        </w:rPr>
        <w:t>.</w:t>
      </w:r>
    </w:p>
    <w:p w14:paraId="147FD3F9" w14:textId="54B9D882" w:rsidR="00962F2B" w:rsidRDefault="0046494C" w:rsidP="00E9745F">
      <w:pPr>
        <w:ind w:firstLine="221"/>
      </w:pPr>
      <w:r>
        <w:t xml:space="preserve">In the present study, we </w:t>
      </w:r>
      <w:r w:rsidR="00EF5458">
        <w:t>u</w:t>
      </w:r>
      <w:r>
        <w:t xml:space="preserve">sed mu-suppression as an EEG index of the mirroring activity. </w:t>
      </w:r>
      <w:r w:rsidR="00EF3715">
        <w:t xml:space="preserve">Mu-suppression refers to the event-related desynchronizations (ERD) </w:t>
      </w:r>
      <w:r w:rsidR="006C7383">
        <w:t xml:space="preserve">related to </w:t>
      </w:r>
      <w:r w:rsidR="00491FCD">
        <w:t>body movements or the motor imagery of movements</w:t>
      </w:r>
      <w:r w:rsidR="00A80065">
        <w:t>, typically identified as the power suppression of</w:t>
      </w:r>
      <w:r w:rsidR="002453A5">
        <w:t xml:space="preserve"> alpha band</w:t>
      </w:r>
      <w:r w:rsidR="00A80065">
        <w:t xml:space="preserve"> </w:t>
      </w:r>
      <w:r w:rsidR="002453A5">
        <w:t>(</w:t>
      </w:r>
      <w:r w:rsidR="00A80065">
        <w:t>8</w:t>
      </w:r>
      <w:r w:rsidR="00A80065" w:rsidRPr="00491FCD">
        <w:rPr>
          <w:rFonts w:cs="Helvetica"/>
        </w:rPr>
        <w:t>–</w:t>
      </w:r>
      <w:r w:rsidR="00A80065">
        <w:t>13 Hz</w:t>
      </w:r>
      <w:r w:rsidR="002453A5">
        <w:t>)</w:t>
      </w:r>
      <w:r w:rsidR="00A80065">
        <w:t xml:space="preserve"> </w:t>
      </w:r>
      <w:r w:rsidR="00D44C6B">
        <w:t xml:space="preserve">recorded from central electrodes covering the sensorimotor </w:t>
      </w:r>
      <w:r w:rsidR="00A63FFF">
        <w:t>area</w:t>
      </w:r>
      <w:r w:rsidR="00A80065">
        <w:t xml:space="preserve"> </w:t>
      </w:r>
      <w:r w:rsidR="006C7383">
        <w:t>(</w:t>
      </w:r>
      <w:r w:rsidR="00491FCD">
        <w:t>Pineda, 2005</w:t>
      </w:r>
      <w:r w:rsidR="006C7383">
        <w:t>)</w:t>
      </w:r>
      <w:r w:rsidR="00EF3715">
        <w:t>.</w:t>
      </w:r>
      <w:r w:rsidR="00D934BC">
        <w:t xml:space="preserve"> I</w:t>
      </w:r>
      <w:r w:rsidR="00CC63EF">
        <w:t xml:space="preserve">nstead of applying </w:t>
      </w:r>
      <w:r w:rsidR="00D934BC">
        <w:t>the general setting,</w:t>
      </w:r>
      <w:r w:rsidR="00CC63EF">
        <w:t xml:space="preserve"> we measured the </w:t>
      </w:r>
      <w:r w:rsidR="00CC63EF">
        <w:lastRenderedPageBreak/>
        <w:t>mirroring</w:t>
      </w:r>
      <w:r w:rsidR="00D934BC">
        <w:t xml:space="preserve"> activity</w:t>
      </w:r>
      <w:r w:rsidR="00CC63EF">
        <w:t xml:space="preserve"> using a more </w:t>
      </w:r>
      <w:r w:rsidR="00D934BC">
        <w:t>specific</w:t>
      </w:r>
      <w:r w:rsidR="00CC63EF">
        <w:t xml:space="preserve"> setting</w:t>
      </w:r>
      <w:r w:rsidR="00D934BC">
        <w:t xml:space="preserve"> with</w:t>
      </w:r>
      <w:r w:rsidR="00CC63EF">
        <w:t xml:space="preserve"> a narrower band and a more restricted area</w:t>
      </w:r>
      <w:r w:rsidR="00D934BC" w:rsidRPr="00D934BC">
        <w:t xml:space="preserve"> </w:t>
      </w:r>
      <w:r w:rsidR="00D934BC">
        <w:t xml:space="preserve">to </w:t>
      </w:r>
      <w:r w:rsidR="00D81E9E">
        <w:t>focus on</w:t>
      </w:r>
      <w:r w:rsidR="00D934BC">
        <w:t xml:space="preserve"> the mirroring specifically related to our task</w:t>
      </w:r>
      <w:r w:rsidR="00CC63EF">
        <w:t>.</w:t>
      </w:r>
    </w:p>
    <w:p w14:paraId="6794401A" w14:textId="43C19FFE" w:rsidR="00E9745F" w:rsidRPr="00EA7133" w:rsidRDefault="00A411F3" w:rsidP="00E9745F">
      <w:pPr>
        <w:ind w:firstLine="221"/>
      </w:pPr>
      <w:r>
        <w:t>Firstly,</w:t>
      </w:r>
      <w:r w:rsidR="00B32F6A">
        <w:t xml:space="preserve"> we measured mu-suppression at </w:t>
      </w:r>
      <w:r w:rsidR="001611DB" w:rsidRPr="00EA7133">
        <w:t xml:space="preserve">the </w:t>
      </w:r>
      <w:r w:rsidR="00B32F6A" w:rsidRPr="00EA7133">
        <w:t>10</w:t>
      </w:r>
      <w:r w:rsidR="00B32F6A" w:rsidRPr="00EA7133">
        <w:rPr>
          <w:rFonts w:cs="Helvetica"/>
        </w:rPr>
        <w:t>–</w:t>
      </w:r>
      <w:r w:rsidR="00B32F6A" w:rsidRPr="00EA7133">
        <w:t>12 Hz band instead of the broader 8</w:t>
      </w:r>
      <w:r w:rsidR="00B32F6A" w:rsidRPr="00EA7133">
        <w:rPr>
          <w:rFonts w:cs="Helvetica"/>
        </w:rPr>
        <w:t>–</w:t>
      </w:r>
      <w:r w:rsidR="00B32F6A" w:rsidRPr="00EA7133">
        <w:t>13 Hz band.</w:t>
      </w:r>
      <w:r w:rsidRPr="00EA7133">
        <w:t xml:space="preserve"> </w:t>
      </w:r>
      <w:r w:rsidR="00B32F6A" w:rsidRPr="00EA7133">
        <w:t xml:space="preserve">Previous studies had found that </w:t>
      </w:r>
      <w:r w:rsidR="002453A5" w:rsidRPr="00EA7133">
        <w:t xml:space="preserve">power suppression of the </w:t>
      </w:r>
      <w:r w:rsidR="00A63FFF" w:rsidRPr="00EA7133">
        <w:t xml:space="preserve">lower </w:t>
      </w:r>
      <w:r w:rsidR="002453A5" w:rsidRPr="00EA7133">
        <w:t>alpha band (8</w:t>
      </w:r>
      <w:r w:rsidR="002453A5" w:rsidRPr="00EA7133">
        <w:rPr>
          <w:rFonts w:cs="Helvetica"/>
        </w:rPr>
        <w:t>–</w:t>
      </w:r>
      <w:r w:rsidR="002453A5" w:rsidRPr="00EA7133">
        <w:t>10 Hz) and the upper alpha band (10</w:t>
      </w:r>
      <w:r w:rsidR="002453A5" w:rsidRPr="00EA7133">
        <w:rPr>
          <w:rFonts w:cs="Helvetica"/>
        </w:rPr>
        <w:t>–</w:t>
      </w:r>
      <w:r w:rsidR="002453A5" w:rsidRPr="00EA7133">
        <w:t xml:space="preserve">12 Hz) </w:t>
      </w:r>
      <w:r w:rsidR="00B32F6A" w:rsidRPr="00EA7133">
        <w:t>are</w:t>
      </w:r>
      <w:r w:rsidR="002453A5" w:rsidRPr="00EA7133">
        <w:t xml:space="preserve"> functionally dissociable</w:t>
      </w:r>
      <w:r w:rsidRPr="00EA7133">
        <w:t>: the former probably reflects general task demands and attentional processes, while the latter develops during sensory-semantic information processing and is task-specific</w:t>
      </w:r>
      <w:r w:rsidR="002453A5" w:rsidRPr="00EA7133">
        <w:t xml:space="preserve"> (</w:t>
      </w:r>
      <w:proofErr w:type="spellStart"/>
      <w:r w:rsidRPr="00EA7133">
        <w:t>Klimesch</w:t>
      </w:r>
      <w:proofErr w:type="spellEnd"/>
      <w:r w:rsidRPr="00EA7133">
        <w:t xml:space="preserve">, 1999; </w:t>
      </w:r>
      <w:proofErr w:type="spellStart"/>
      <w:r w:rsidR="00812A7B" w:rsidRPr="00EA7133">
        <w:t>Pfurtscheller</w:t>
      </w:r>
      <w:proofErr w:type="spellEnd"/>
      <w:r w:rsidR="00812A7B" w:rsidRPr="00EA7133">
        <w:t xml:space="preserve">, </w:t>
      </w:r>
      <w:proofErr w:type="spellStart"/>
      <w:r w:rsidR="00812A7B" w:rsidRPr="00EA7133">
        <w:t>Neuper</w:t>
      </w:r>
      <w:proofErr w:type="spellEnd"/>
      <w:r w:rsidR="00812A7B" w:rsidRPr="00EA7133">
        <w:t xml:space="preserve">, &amp; </w:t>
      </w:r>
      <w:proofErr w:type="spellStart"/>
      <w:r w:rsidR="00812A7B" w:rsidRPr="00EA7133">
        <w:t>Krausz</w:t>
      </w:r>
      <w:proofErr w:type="spellEnd"/>
      <w:r w:rsidR="00812A7B" w:rsidRPr="00EA7133">
        <w:t>, 2000</w:t>
      </w:r>
      <w:r w:rsidR="002453A5" w:rsidRPr="00EA7133">
        <w:t>).</w:t>
      </w:r>
      <w:r w:rsidR="00A5724F" w:rsidRPr="00EA7133">
        <w:t xml:space="preserve"> </w:t>
      </w:r>
      <w:r w:rsidR="00D47EC0" w:rsidRPr="00EA7133">
        <w:t xml:space="preserve">Since this </w:t>
      </w:r>
      <w:r w:rsidR="00A5724F" w:rsidRPr="00EA7133">
        <w:t>study focuses on the information processing specifically related to</w:t>
      </w:r>
      <w:r w:rsidR="00227BCB" w:rsidRPr="00EA7133">
        <w:t xml:space="preserve"> the </w:t>
      </w:r>
      <w:r w:rsidR="00A5724F" w:rsidRPr="00EA7133">
        <w:t>communicati</w:t>
      </w:r>
      <w:r w:rsidR="00227BCB" w:rsidRPr="00EA7133">
        <w:t>ve task</w:t>
      </w:r>
      <w:r w:rsidR="00A5724F" w:rsidRPr="00EA7133">
        <w:t xml:space="preserve"> rather than general task demands and attention</w:t>
      </w:r>
      <w:r w:rsidR="00D47EC0" w:rsidRPr="00EA7133">
        <w:t xml:space="preserve">, the frequency band for measuring mu-suppression was set to the </w:t>
      </w:r>
      <w:r w:rsidR="00A5724F" w:rsidRPr="00EA7133">
        <w:t>upper alpha band (10</w:t>
      </w:r>
      <w:r w:rsidR="00A5724F" w:rsidRPr="00EA7133">
        <w:rPr>
          <w:rFonts w:cs="Helvetica"/>
        </w:rPr>
        <w:t>–</w:t>
      </w:r>
      <w:r w:rsidR="00A5724F" w:rsidRPr="00EA7133">
        <w:t>12 Hz).</w:t>
      </w:r>
    </w:p>
    <w:p w14:paraId="257E8732" w14:textId="76AF393F" w:rsidR="00A5724F" w:rsidRDefault="00A5724F" w:rsidP="00E9745F">
      <w:pPr>
        <w:ind w:firstLine="221"/>
      </w:pPr>
      <w:r w:rsidRPr="00EA7133">
        <w:rPr>
          <w:rFonts w:hint="eastAsia"/>
        </w:rPr>
        <w:t>S</w:t>
      </w:r>
      <w:r w:rsidRPr="00EA7133">
        <w:t xml:space="preserve">econdly, </w:t>
      </w:r>
      <w:r w:rsidR="00D47EC0" w:rsidRPr="00EA7133">
        <w:t>we measured mu-suppression at the left central electrode site C3 instead of all central electrode sites.</w:t>
      </w:r>
      <w:r w:rsidR="00D25367" w:rsidRPr="00EA7133">
        <w:t xml:space="preserve"> This is due to the hemispheric asymmetry found in the power suppression of the upper alpha band. Specifically, </w:t>
      </w:r>
      <w:proofErr w:type="spellStart"/>
      <w:r w:rsidR="00D47EC0" w:rsidRPr="00EA7133">
        <w:t>Pfurtscheller</w:t>
      </w:r>
      <w:proofErr w:type="spellEnd"/>
      <w:r w:rsidR="00D47EC0" w:rsidRPr="00EA7133">
        <w:t xml:space="preserve"> et al. (2000) found </w:t>
      </w:r>
      <w:r w:rsidR="00D25367" w:rsidRPr="00EA7133">
        <w:t xml:space="preserve">a contra-lateral </w:t>
      </w:r>
      <w:r w:rsidR="00C83A4B" w:rsidRPr="00EA7133">
        <w:t xml:space="preserve">upper alpha band power suppression during the preparation of </w:t>
      </w:r>
      <w:r w:rsidR="00D9405C" w:rsidRPr="00EA7133">
        <w:t>body movements</w:t>
      </w:r>
      <w:r w:rsidR="00227BCB" w:rsidRPr="00EA7133">
        <w:t>.</w:t>
      </w:r>
      <w:r w:rsidR="00D9405C" w:rsidRPr="00EA7133">
        <w:t xml:space="preserve"> In our study, all participants were right-handed and </w:t>
      </w:r>
      <w:r w:rsidR="001E21E4" w:rsidRPr="00EA7133">
        <w:t>instructed to press button</w:t>
      </w:r>
      <w:r w:rsidR="001611DB" w:rsidRPr="00EA7133">
        <w:t xml:space="preserve"> always</w:t>
      </w:r>
      <w:r w:rsidR="001E21E4">
        <w:t xml:space="preserve"> with the right hand. Therefore, we expected </w:t>
      </w:r>
      <w:r w:rsidR="00D934BC">
        <w:t>the related mu-suppression to be</w:t>
      </w:r>
      <w:r w:rsidR="001E21E4">
        <w:t xml:space="preserve"> left-dominant and </w:t>
      </w:r>
      <w:r w:rsidR="00D934BC">
        <w:t xml:space="preserve">should be </w:t>
      </w:r>
      <w:r w:rsidR="001E21E4">
        <w:t>measured at the left central electrode site C3.</w:t>
      </w:r>
    </w:p>
    <w:p w14:paraId="5D4189EF" w14:textId="36558DEF" w:rsidR="007C6690" w:rsidRDefault="007C6690" w:rsidP="00E9745F">
      <w:pPr>
        <w:ind w:firstLine="221"/>
      </w:pPr>
    </w:p>
    <w:p w14:paraId="3B4ED72E" w14:textId="15D8F3E7" w:rsidR="007C6690" w:rsidRPr="00304552" w:rsidRDefault="001611DB" w:rsidP="007C6690">
      <w:pPr>
        <w:ind w:firstLine="221"/>
        <w:outlineLvl w:val="0"/>
        <w:rPr>
          <w:b/>
        </w:rPr>
      </w:pPr>
      <w:r w:rsidRPr="00EA7133">
        <w:rPr>
          <w:b/>
        </w:rPr>
        <w:t xml:space="preserve">A4. </w:t>
      </w:r>
      <w:r w:rsidR="007C6690" w:rsidRPr="00EA7133">
        <w:rPr>
          <w:b/>
        </w:rPr>
        <w:t>Pa</w:t>
      </w:r>
      <w:r w:rsidR="007C6690">
        <w:rPr>
          <w:b/>
        </w:rPr>
        <w:t>rticipants without significant mu-suppression in both games</w:t>
      </w:r>
    </w:p>
    <w:p w14:paraId="5AA1CBD6" w14:textId="77777777" w:rsidR="007C6690" w:rsidRPr="0046494C" w:rsidRDefault="007C6690" w:rsidP="007C6690">
      <w:pPr>
        <w:rPr>
          <w:b/>
          <w:bCs/>
          <w:sz w:val="22"/>
          <w:szCs w:val="22"/>
          <w:lang w:eastAsia="ja-JP"/>
        </w:rPr>
      </w:pPr>
    </w:p>
    <w:p w14:paraId="3E598A65" w14:textId="2C96D255" w:rsidR="00D612E5" w:rsidRDefault="007C6690" w:rsidP="007C6690">
      <w:pPr>
        <w:ind w:firstLine="221"/>
      </w:pPr>
      <w:r>
        <w:t xml:space="preserve">In the present study, </w:t>
      </w:r>
      <w:r w:rsidR="00AF618B">
        <w:t>the participants who showed no significant mu-suppression in both the SG and the CCG</w:t>
      </w:r>
      <w:r w:rsidR="002560AB">
        <w:t xml:space="preserve"> (Group-N, n</w:t>
      </w:r>
      <w:r w:rsidR="00AF26ED">
        <w:t xml:space="preserve"> </w:t>
      </w:r>
      <w:r w:rsidR="002560AB">
        <w:t>=</w:t>
      </w:r>
      <w:r w:rsidR="00AF26ED">
        <w:t xml:space="preserve"> </w:t>
      </w:r>
      <w:r w:rsidR="002560AB">
        <w:t>5)</w:t>
      </w:r>
      <w:r w:rsidR="00AF618B">
        <w:t xml:space="preserve"> were excluded from subsequent statistical analysis. Ideally,</w:t>
      </w:r>
      <w:r w:rsidR="002560AB">
        <w:t xml:space="preserve"> </w:t>
      </w:r>
      <w:r w:rsidR="00D612E5" w:rsidRPr="00D612E5">
        <w:t xml:space="preserve">the Group-N could provide another baseline </w:t>
      </w:r>
      <w:r w:rsidR="002560AB">
        <w:t>alternative to those who showed significant mu-suppression in both games (i.e., the Group-B)</w:t>
      </w:r>
      <w:r w:rsidR="00D612E5">
        <w:t>. That is,</w:t>
      </w:r>
      <w:r w:rsidR="002560AB">
        <w:t xml:space="preserve"> </w:t>
      </w:r>
      <w:r w:rsidR="00AF618B">
        <w:t>to evaluate the direct and indirect effects of the mirroring</w:t>
      </w:r>
      <w:r w:rsidR="00D612E5">
        <w:t>, we could compare the performance of the Group-N</w:t>
      </w:r>
      <w:r w:rsidR="002560AB">
        <w:t xml:space="preserve"> against those who showed significant mu-suppression in either game only, namely, the Group-S and the Group-C, respectively.</w:t>
      </w:r>
    </w:p>
    <w:p w14:paraId="38BDC2D8" w14:textId="2E11A144" w:rsidR="0043154D" w:rsidRDefault="002560AB" w:rsidP="00D612E5">
      <w:pPr>
        <w:ind w:firstLine="221"/>
        <w:rPr>
          <w:lang w:eastAsia="ja-JP"/>
        </w:rPr>
      </w:pPr>
      <w:r>
        <w:t xml:space="preserve">However, such comparisons were </w:t>
      </w:r>
      <w:r w:rsidR="00D612E5">
        <w:t>inapplicable to our study</w:t>
      </w:r>
      <w:r w:rsidR="006C311C">
        <w:rPr>
          <w:lang w:eastAsia="ja-JP"/>
        </w:rPr>
        <w:t>.</w:t>
      </w:r>
      <w:r w:rsidR="00D612E5">
        <w:rPr>
          <w:lang w:eastAsia="ja-JP"/>
        </w:rPr>
        <w:t xml:space="preserve"> In fact, </w:t>
      </w:r>
      <w:r w:rsidR="006C311C">
        <w:rPr>
          <w:lang w:eastAsia="ja-JP"/>
        </w:rPr>
        <w:t>mirroring related mu-suppression had been found varied in healthy subjects (</w:t>
      </w:r>
      <w:proofErr w:type="spellStart"/>
      <w:r w:rsidR="00CA7208" w:rsidRPr="00CA7208">
        <w:rPr>
          <w:lang w:eastAsia="ja-JP"/>
        </w:rPr>
        <w:t>Höller</w:t>
      </w:r>
      <w:proofErr w:type="spellEnd"/>
      <w:r w:rsidR="00AF26ED">
        <w:rPr>
          <w:lang w:eastAsia="ja-JP"/>
        </w:rPr>
        <w:t xml:space="preserve"> et al., </w:t>
      </w:r>
      <w:r w:rsidR="00CA7208" w:rsidRPr="00CA7208">
        <w:rPr>
          <w:lang w:eastAsia="ja-JP"/>
        </w:rPr>
        <w:t>2013</w:t>
      </w:r>
      <w:r w:rsidR="006C311C">
        <w:rPr>
          <w:lang w:eastAsia="ja-JP"/>
        </w:rPr>
        <w:t xml:space="preserve">). </w:t>
      </w:r>
      <w:r w:rsidR="00D612E5">
        <w:rPr>
          <w:lang w:eastAsia="ja-JP"/>
        </w:rPr>
        <w:t xml:space="preserve">Accordingly, a lack of significant mu-suppression in both games is more likely to reflect the individual difference in mu-suppression rather than a lack of mirroring. </w:t>
      </w:r>
      <w:r w:rsidR="006C311C">
        <w:rPr>
          <w:lang w:eastAsia="ja-JP"/>
        </w:rPr>
        <w:t xml:space="preserve">Therefore, </w:t>
      </w:r>
      <w:r w:rsidR="00A579E9">
        <w:rPr>
          <w:lang w:eastAsia="ja-JP"/>
        </w:rPr>
        <w:t>the Group-N</w:t>
      </w:r>
      <w:r w:rsidR="0043154D">
        <w:rPr>
          <w:lang w:eastAsia="ja-JP"/>
        </w:rPr>
        <w:t xml:space="preserve"> could not be used as a reliable baseline </w:t>
      </w:r>
      <w:r w:rsidR="006C4058">
        <w:rPr>
          <w:lang w:eastAsia="ja-JP"/>
        </w:rPr>
        <w:t>for comparing</w:t>
      </w:r>
      <w:r w:rsidR="00A579E9">
        <w:rPr>
          <w:lang w:eastAsia="ja-JP"/>
        </w:rPr>
        <w:t xml:space="preserve"> </w:t>
      </w:r>
      <w:r w:rsidR="006C4058">
        <w:rPr>
          <w:lang w:eastAsia="ja-JP"/>
        </w:rPr>
        <w:t>with</w:t>
      </w:r>
      <w:r w:rsidR="00A579E9">
        <w:rPr>
          <w:lang w:eastAsia="ja-JP"/>
        </w:rPr>
        <w:t xml:space="preserve"> other groups </w:t>
      </w:r>
      <w:r w:rsidR="006C4058">
        <w:rPr>
          <w:lang w:eastAsia="ja-JP"/>
        </w:rPr>
        <w:t>to</w:t>
      </w:r>
      <w:r w:rsidR="00A579E9">
        <w:rPr>
          <w:lang w:eastAsia="ja-JP"/>
        </w:rPr>
        <w:t xml:space="preserve"> evaluat</w:t>
      </w:r>
      <w:r w:rsidR="006C4058">
        <w:rPr>
          <w:lang w:eastAsia="ja-JP"/>
        </w:rPr>
        <w:t>e</w:t>
      </w:r>
      <w:r w:rsidR="00A579E9">
        <w:rPr>
          <w:lang w:eastAsia="ja-JP"/>
        </w:rPr>
        <w:t xml:space="preserve"> the </w:t>
      </w:r>
      <w:r w:rsidR="006C4058">
        <w:rPr>
          <w:lang w:eastAsia="ja-JP"/>
        </w:rPr>
        <w:t xml:space="preserve">mirroring </w:t>
      </w:r>
      <w:r w:rsidR="00A579E9">
        <w:rPr>
          <w:lang w:eastAsia="ja-JP"/>
        </w:rPr>
        <w:t>effects.</w:t>
      </w:r>
    </w:p>
    <w:p w14:paraId="0B32EA30" w14:textId="77777777" w:rsidR="007C6690" w:rsidRPr="00CA7208" w:rsidRDefault="007C6690" w:rsidP="00E9745F">
      <w:pPr>
        <w:ind w:firstLine="221"/>
      </w:pPr>
    </w:p>
    <w:p w14:paraId="7C7FB16E" w14:textId="76F1C0B9" w:rsidR="00E9745F" w:rsidRPr="00D9405C" w:rsidRDefault="00E9745F" w:rsidP="002329C7"/>
    <w:p w14:paraId="227A8811" w14:textId="7AD9409C" w:rsidR="00EF3715" w:rsidRDefault="00EF3715" w:rsidP="00EF3715">
      <w:pPr>
        <w:ind w:firstLine="221"/>
        <w:outlineLvl w:val="0"/>
        <w:rPr>
          <w:b/>
        </w:rPr>
      </w:pPr>
      <w:r w:rsidRPr="002E2008">
        <w:rPr>
          <w:b/>
        </w:rPr>
        <w:t>References</w:t>
      </w:r>
    </w:p>
    <w:p w14:paraId="7B909A6D" w14:textId="77777777" w:rsidR="00724E10" w:rsidRPr="002E2008" w:rsidRDefault="00724E10" w:rsidP="00EF3715">
      <w:pPr>
        <w:ind w:firstLine="221"/>
        <w:outlineLvl w:val="0"/>
        <w:rPr>
          <w:b/>
        </w:rPr>
      </w:pPr>
    </w:p>
    <w:p w14:paraId="7FAB44E3" w14:textId="533C7E88" w:rsidR="0015456C" w:rsidRDefault="00491FCD" w:rsidP="006C4058">
      <w:pPr>
        <w:autoSpaceDE w:val="0"/>
        <w:autoSpaceDN w:val="0"/>
        <w:adjustRightInd w:val="0"/>
        <w:ind w:left="480" w:hanging="480"/>
        <w:rPr>
          <w:rFonts w:ascii="Courier New" w:hAnsi="Courier New" w:cs="Courier New"/>
        </w:rPr>
      </w:pPr>
      <w:r w:rsidRPr="00491FCD">
        <w:rPr>
          <w:rFonts w:ascii="Courier New" w:hAnsi="Courier New" w:cs="Courier New"/>
        </w:rPr>
        <w:t>﻿</w:t>
      </w:r>
      <w:proofErr w:type="spellStart"/>
      <w:r w:rsidR="0015456C" w:rsidRPr="002E2008">
        <w:rPr>
          <w:rFonts w:eastAsia="Times New Roman"/>
        </w:rPr>
        <w:t>Chaumon</w:t>
      </w:r>
      <w:proofErr w:type="spellEnd"/>
      <w:r w:rsidR="0015456C" w:rsidRPr="002E2008">
        <w:rPr>
          <w:rFonts w:eastAsia="Times New Roman"/>
        </w:rPr>
        <w:t xml:space="preserve">, M., Bishop, D. V. M., &amp; Busch, N. A. (2015). A practical guide to the selection of independent components of the electroencephalogram for artifact correction. </w:t>
      </w:r>
      <w:r w:rsidR="0015456C" w:rsidRPr="002E2008">
        <w:rPr>
          <w:rFonts w:eastAsia="Times New Roman"/>
          <w:iCs/>
        </w:rPr>
        <w:t>Journal of Neuroscience Methods</w:t>
      </w:r>
      <w:r w:rsidR="0015456C" w:rsidRPr="002E2008">
        <w:rPr>
          <w:rFonts w:eastAsia="Times New Roman"/>
        </w:rPr>
        <w:t xml:space="preserve">, </w:t>
      </w:r>
      <w:r w:rsidR="0015456C" w:rsidRPr="002E2008">
        <w:rPr>
          <w:rFonts w:eastAsia="Times New Roman"/>
          <w:iCs/>
        </w:rPr>
        <w:t>250</w:t>
      </w:r>
      <w:r w:rsidR="0015456C" w:rsidRPr="002E2008">
        <w:rPr>
          <w:rFonts w:eastAsia="Times New Roman"/>
        </w:rPr>
        <w:t>, 47–63. (</w:t>
      </w:r>
      <w:proofErr w:type="spellStart"/>
      <w:r w:rsidR="0015456C" w:rsidRPr="002E2008">
        <w:rPr>
          <w:rFonts w:eastAsia="Times New Roman"/>
        </w:rPr>
        <w:t>doi</w:t>
      </w:r>
      <w:proofErr w:type="spellEnd"/>
      <w:r w:rsidR="0015456C" w:rsidRPr="002E2008">
        <w:rPr>
          <w:rFonts w:eastAsia="Times New Roman"/>
        </w:rPr>
        <w:t>:</w:t>
      </w:r>
      <w:r w:rsidR="00177755">
        <w:rPr>
          <w:rFonts w:eastAsia="Times New Roman"/>
        </w:rPr>
        <w:t xml:space="preserve"> </w:t>
      </w:r>
      <w:r w:rsidR="0015456C" w:rsidRPr="002E2008">
        <w:rPr>
          <w:rFonts w:eastAsia="Times New Roman"/>
        </w:rPr>
        <w:t>10.1016/j.jneumeth.2015.02.025)</w:t>
      </w:r>
    </w:p>
    <w:p w14:paraId="1E496C82" w14:textId="5759398B" w:rsidR="006C4058" w:rsidRDefault="006C4058" w:rsidP="006C4058">
      <w:pPr>
        <w:autoSpaceDE w:val="0"/>
        <w:autoSpaceDN w:val="0"/>
        <w:adjustRightInd w:val="0"/>
        <w:ind w:left="480" w:hanging="480"/>
        <w:rPr>
          <w:rFonts w:cs="Helvetica"/>
        </w:rPr>
      </w:pPr>
      <w:proofErr w:type="spellStart"/>
      <w:r w:rsidRPr="00CA7208">
        <w:rPr>
          <w:rFonts w:cs="Helvetica"/>
        </w:rPr>
        <w:t>Höller</w:t>
      </w:r>
      <w:proofErr w:type="spellEnd"/>
      <w:r w:rsidRPr="00CA7208">
        <w:rPr>
          <w:rFonts w:cs="Helvetica"/>
        </w:rPr>
        <w:t xml:space="preserve">, Y., Bergmann, J., </w:t>
      </w:r>
      <w:proofErr w:type="spellStart"/>
      <w:r w:rsidRPr="00CA7208">
        <w:rPr>
          <w:rFonts w:cs="Helvetica"/>
        </w:rPr>
        <w:t>Kronbichler</w:t>
      </w:r>
      <w:proofErr w:type="spellEnd"/>
      <w:r w:rsidRPr="00CA7208">
        <w:rPr>
          <w:rFonts w:cs="Helvetica"/>
        </w:rPr>
        <w:t xml:space="preserve">, M., Crone, J. S., Schmid, E. V., </w:t>
      </w:r>
      <w:proofErr w:type="spellStart"/>
      <w:r w:rsidRPr="00CA7208">
        <w:rPr>
          <w:rFonts w:cs="Helvetica"/>
        </w:rPr>
        <w:t>Thomschewski</w:t>
      </w:r>
      <w:proofErr w:type="spellEnd"/>
      <w:r w:rsidRPr="00CA7208">
        <w:rPr>
          <w:rFonts w:cs="Helvetica"/>
        </w:rPr>
        <w:t xml:space="preserve">, A., </w:t>
      </w:r>
      <w:proofErr w:type="spellStart"/>
      <w:r w:rsidRPr="00CA7208">
        <w:rPr>
          <w:rFonts w:cs="Helvetica"/>
        </w:rPr>
        <w:t>Butz</w:t>
      </w:r>
      <w:proofErr w:type="spellEnd"/>
      <w:r w:rsidRPr="00CA7208">
        <w:rPr>
          <w:rFonts w:cs="Helvetica"/>
        </w:rPr>
        <w:t xml:space="preserve">, K., </w:t>
      </w:r>
      <w:proofErr w:type="spellStart"/>
      <w:r w:rsidRPr="00CA7208">
        <w:rPr>
          <w:rFonts w:cs="Helvetica"/>
        </w:rPr>
        <w:t>Schütze</w:t>
      </w:r>
      <w:proofErr w:type="spellEnd"/>
      <w:r w:rsidRPr="00CA7208">
        <w:rPr>
          <w:rFonts w:cs="Helvetica"/>
        </w:rPr>
        <w:t xml:space="preserve">, V., </w:t>
      </w:r>
      <w:proofErr w:type="spellStart"/>
      <w:r w:rsidRPr="00CA7208">
        <w:rPr>
          <w:rFonts w:cs="Helvetica"/>
        </w:rPr>
        <w:t>Höller</w:t>
      </w:r>
      <w:proofErr w:type="spellEnd"/>
      <w:r w:rsidRPr="00CA7208">
        <w:rPr>
          <w:rFonts w:cs="Helvetica"/>
        </w:rPr>
        <w:t xml:space="preserve">, P., </w:t>
      </w:r>
      <w:r w:rsidR="00AF26ED">
        <w:rPr>
          <w:rFonts w:cs="Helvetica"/>
        </w:rPr>
        <w:t xml:space="preserve">&amp; </w:t>
      </w:r>
      <w:r w:rsidRPr="00CA7208">
        <w:rPr>
          <w:rFonts w:cs="Helvetica"/>
        </w:rPr>
        <w:t>Trinka, E. (2013). Real movement vs. motor imagery in healthy subjects. International Journal of Psychophysiology, 87, 35–41. (</w:t>
      </w:r>
      <w:proofErr w:type="spellStart"/>
      <w:r w:rsidRPr="00CA7208">
        <w:rPr>
          <w:rFonts w:cs="Helvetica"/>
        </w:rPr>
        <w:t>doi</w:t>
      </w:r>
      <w:proofErr w:type="spellEnd"/>
      <w:r w:rsidRPr="00CA7208">
        <w:rPr>
          <w:rFonts w:cs="Helvetica"/>
        </w:rPr>
        <w:t>: 10.1016/j.ijpsycho.2012.10.015)</w:t>
      </w:r>
    </w:p>
    <w:p w14:paraId="01960E90" w14:textId="4D38E9BA" w:rsidR="00491FCD" w:rsidRDefault="00A411F3" w:rsidP="00EF3715">
      <w:pPr>
        <w:autoSpaceDE w:val="0"/>
        <w:autoSpaceDN w:val="0"/>
        <w:adjustRightInd w:val="0"/>
        <w:ind w:left="480" w:hanging="480"/>
        <w:rPr>
          <w:rFonts w:cs="Helvetica"/>
        </w:rPr>
      </w:pPr>
      <w:proofErr w:type="spellStart"/>
      <w:r w:rsidRPr="00A411F3">
        <w:rPr>
          <w:rFonts w:cs="Helvetica"/>
        </w:rPr>
        <w:t>Klimesch</w:t>
      </w:r>
      <w:proofErr w:type="spellEnd"/>
      <w:r w:rsidRPr="00A411F3">
        <w:rPr>
          <w:rFonts w:cs="Helvetica"/>
        </w:rPr>
        <w:t>, W. (1999). EEG alpha and theta oscillations reflect cognitive and memory performance: A review and analysis. Brain Research Reviews, 29, 169–195.</w:t>
      </w:r>
      <w:r>
        <w:rPr>
          <w:rFonts w:cs="Helvetica"/>
        </w:rPr>
        <w:t xml:space="preserve"> (</w:t>
      </w:r>
      <w:proofErr w:type="spellStart"/>
      <w:r>
        <w:rPr>
          <w:rFonts w:cs="Helvetica"/>
        </w:rPr>
        <w:t>doi</w:t>
      </w:r>
      <w:proofErr w:type="spellEnd"/>
      <w:r>
        <w:rPr>
          <w:rFonts w:cs="Helvetica"/>
        </w:rPr>
        <w:t xml:space="preserve">: </w:t>
      </w:r>
      <w:r w:rsidRPr="00A411F3">
        <w:rPr>
          <w:rFonts w:cs="Helvetica"/>
        </w:rPr>
        <w:t>10.1016/S0165-0173(98)00056-3</w:t>
      </w:r>
      <w:r>
        <w:rPr>
          <w:rFonts w:cs="Helvetica"/>
        </w:rPr>
        <w:t>)</w:t>
      </w:r>
    </w:p>
    <w:p w14:paraId="4D20B56E" w14:textId="1D229534" w:rsidR="00A411F3" w:rsidRDefault="00A411F3" w:rsidP="00EF3715">
      <w:pPr>
        <w:autoSpaceDE w:val="0"/>
        <w:autoSpaceDN w:val="0"/>
        <w:adjustRightInd w:val="0"/>
        <w:ind w:left="480" w:hanging="480"/>
        <w:rPr>
          <w:rFonts w:cs="Helvetica"/>
        </w:rPr>
      </w:pPr>
      <w:proofErr w:type="spellStart"/>
      <w:r w:rsidRPr="00A411F3">
        <w:rPr>
          <w:rFonts w:cs="Helvetica"/>
        </w:rPr>
        <w:lastRenderedPageBreak/>
        <w:t>Pfurtscheller</w:t>
      </w:r>
      <w:proofErr w:type="spellEnd"/>
      <w:r w:rsidRPr="00A411F3">
        <w:rPr>
          <w:rFonts w:cs="Helvetica"/>
        </w:rPr>
        <w:t xml:space="preserve">, G., </w:t>
      </w:r>
      <w:proofErr w:type="spellStart"/>
      <w:r w:rsidRPr="00A411F3">
        <w:rPr>
          <w:rFonts w:cs="Helvetica"/>
        </w:rPr>
        <w:t>Neuper</w:t>
      </w:r>
      <w:proofErr w:type="spellEnd"/>
      <w:r w:rsidRPr="00A411F3">
        <w:rPr>
          <w:rFonts w:cs="Helvetica"/>
        </w:rPr>
        <w:t xml:space="preserve">, C., &amp; </w:t>
      </w:r>
      <w:proofErr w:type="spellStart"/>
      <w:r w:rsidRPr="00A411F3">
        <w:rPr>
          <w:rFonts w:cs="Helvetica"/>
        </w:rPr>
        <w:t>Krausz</w:t>
      </w:r>
      <w:proofErr w:type="spellEnd"/>
      <w:r w:rsidRPr="00A411F3">
        <w:rPr>
          <w:rFonts w:cs="Helvetica"/>
        </w:rPr>
        <w:t xml:space="preserve">, G. (2000). Functional dissociation of lower and upper frequency mu rhythms in relation to voluntary limb movement. Clinical Neurophysiology, 111, 1873–1879. </w:t>
      </w:r>
      <w:r>
        <w:rPr>
          <w:rFonts w:cs="Helvetica"/>
        </w:rPr>
        <w:t>(</w:t>
      </w:r>
      <w:proofErr w:type="spellStart"/>
      <w:r>
        <w:rPr>
          <w:rFonts w:cs="Helvetica"/>
        </w:rPr>
        <w:t>doi</w:t>
      </w:r>
      <w:proofErr w:type="spellEnd"/>
      <w:r>
        <w:rPr>
          <w:rFonts w:cs="Helvetica"/>
        </w:rPr>
        <w:t xml:space="preserve">: </w:t>
      </w:r>
      <w:r w:rsidRPr="00A411F3">
        <w:rPr>
          <w:rFonts w:cs="Helvetica"/>
        </w:rPr>
        <w:t>10.1016/S1388-2457(00)00428-4</w:t>
      </w:r>
      <w:r>
        <w:rPr>
          <w:rFonts w:cs="Helvetica"/>
        </w:rPr>
        <w:t>)</w:t>
      </w:r>
    </w:p>
    <w:p w14:paraId="337B766A" w14:textId="45B52781" w:rsidR="00EF3715" w:rsidRPr="00177755" w:rsidRDefault="00A411F3" w:rsidP="00177755">
      <w:pPr>
        <w:autoSpaceDE w:val="0"/>
        <w:autoSpaceDN w:val="0"/>
        <w:adjustRightInd w:val="0"/>
        <w:ind w:left="480" w:hanging="480"/>
        <w:rPr>
          <w:rFonts w:cs="Helvetica"/>
        </w:rPr>
      </w:pPr>
      <w:r w:rsidRPr="00491FCD">
        <w:rPr>
          <w:rFonts w:ascii="Courier New" w:hAnsi="Courier New" w:cs="Courier New"/>
        </w:rPr>
        <w:t>﻿</w:t>
      </w:r>
      <w:r w:rsidRPr="00491FCD">
        <w:rPr>
          <w:rFonts w:cs="Helvetica"/>
        </w:rPr>
        <w:t xml:space="preserve">Pineda, J. A. (2005). The functional significance of mu rhythms: </w:t>
      </w:r>
      <w:r w:rsidR="004246CC">
        <w:rPr>
          <w:rFonts w:cs="Helvetica"/>
        </w:rPr>
        <w:t>t</w:t>
      </w:r>
      <w:r w:rsidRPr="00491FCD">
        <w:rPr>
          <w:rFonts w:cs="Helvetica"/>
        </w:rPr>
        <w:t xml:space="preserve">ranslating “seeing” and “hearing” into “doing.” Brain Research Reviews, 50, 57–68. </w:t>
      </w:r>
      <w:r>
        <w:rPr>
          <w:rFonts w:cs="Helvetica"/>
        </w:rPr>
        <w:t>(</w:t>
      </w:r>
      <w:proofErr w:type="spellStart"/>
      <w:r>
        <w:rPr>
          <w:rFonts w:cs="Helvetica"/>
        </w:rPr>
        <w:t>doi</w:t>
      </w:r>
      <w:proofErr w:type="spellEnd"/>
      <w:r>
        <w:rPr>
          <w:rFonts w:cs="Helvetica"/>
        </w:rPr>
        <w:t xml:space="preserve">: </w:t>
      </w:r>
      <w:r w:rsidRPr="00491FCD">
        <w:rPr>
          <w:rFonts w:cs="Helvetica"/>
        </w:rPr>
        <w:t>10.1016/j.brainresrev.2005.04.005</w:t>
      </w:r>
      <w:r>
        <w:rPr>
          <w:rFonts w:cs="Helvetica"/>
        </w:rPr>
        <w:t>)</w:t>
      </w:r>
    </w:p>
    <w:sectPr w:rsidR="00EF3715" w:rsidRPr="00177755">
      <w:pgSz w:w="12240" w:h="15840"/>
      <w:pgMar w:top="1304" w:right="1797" w:bottom="130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4722" w14:textId="77777777" w:rsidR="009302F5" w:rsidRDefault="009302F5" w:rsidP="00116BAB">
      <w:r>
        <w:separator/>
      </w:r>
    </w:p>
  </w:endnote>
  <w:endnote w:type="continuationSeparator" w:id="0">
    <w:p w14:paraId="3BF61921" w14:textId="77777777" w:rsidR="009302F5" w:rsidRDefault="009302F5" w:rsidP="001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1"/>
    <w:family w:val="auto"/>
    <w:pitch w:val="variable"/>
  </w:font>
  <w:font w:name="FreeSans">
    <w:altName w:val="Times New Roman"/>
    <w:panose1 w:val="020B0604020202020204"/>
    <w:charset w:val="01"/>
    <w:family w:val="auto"/>
    <w:pitch w:val="variable"/>
  </w:font>
  <w:font w:name="AdvP41153C">
    <w:altName w:val="Baskerville Old Face"/>
    <w:panose1 w:val="020B0604020202020204"/>
    <w:charset w:val="4D"/>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CF3F" w14:textId="77777777" w:rsidR="009302F5" w:rsidRDefault="009302F5" w:rsidP="00116BAB">
      <w:r>
        <w:separator/>
      </w:r>
    </w:p>
  </w:footnote>
  <w:footnote w:type="continuationSeparator" w:id="0">
    <w:p w14:paraId="17D25364" w14:textId="77777777" w:rsidR="009302F5" w:rsidRDefault="009302F5" w:rsidP="00116BAB">
      <w:r>
        <w:continuationSeparator/>
      </w:r>
    </w:p>
  </w:footnote>
  <w:footnote w:id="1">
    <w:p w14:paraId="460FAE36" w14:textId="78A35418" w:rsidR="00116BAB" w:rsidRPr="00EA7133" w:rsidRDefault="00116BAB" w:rsidP="00116BAB">
      <w:pPr>
        <w:pStyle w:val="af2"/>
      </w:pPr>
      <w:r>
        <w:rPr>
          <w:rStyle w:val="af4"/>
        </w:rPr>
        <w:footnoteRef/>
      </w:r>
      <w:r>
        <w:t xml:space="preserve"> </w:t>
      </w:r>
      <w:hyperlink r:id="rId1" w:history="1">
        <w:r w:rsidR="001D5F35" w:rsidRPr="007E2B75">
          <w:rPr>
            <w:rStyle w:val="af1"/>
            <w:rFonts w:hint="eastAsia"/>
          </w:rPr>
          <w:t>http</w:t>
        </w:r>
        <w:r w:rsidR="001D5F35" w:rsidRPr="007E2B75">
          <w:rPr>
            <w:rStyle w:val="af1"/>
          </w:rPr>
          <w:t>s</w:t>
        </w:r>
        <w:r w:rsidR="001D5F35" w:rsidRPr="007E2B75">
          <w:rPr>
            <w:rStyle w:val="af1"/>
            <w:rFonts w:hint="eastAsia"/>
          </w:rPr>
          <w:t>://</w:t>
        </w:r>
        <w:r w:rsidR="001D5F35" w:rsidRPr="007E2B75">
          <w:rPr>
            <w:rStyle w:val="af1"/>
          </w:rPr>
          <w:t>sccn.ucsd.edu/eeglab/</w:t>
        </w:r>
      </w:hyperlink>
      <w:r w:rsidR="001D5F35">
        <w:t xml:space="preserve"> </w:t>
      </w:r>
      <w:r w:rsidR="001D5F35" w:rsidRPr="00EA7133">
        <w:t>(last accessed on 13 November 2019)</w:t>
      </w:r>
    </w:p>
  </w:footnote>
  <w:footnote w:id="2">
    <w:p w14:paraId="629B3A7C" w14:textId="6E147D78" w:rsidR="00116BAB" w:rsidRDefault="00116BAB" w:rsidP="00116BAB">
      <w:pPr>
        <w:pStyle w:val="af2"/>
      </w:pPr>
      <w:r w:rsidRPr="00EA7133">
        <w:rPr>
          <w:rStyle w:val="af4"/>
        </w:rPr>
        <w:footnoteRef/>
      </w:r>
      <w:r w:rsidRPr="00EA7133">
        <w:t xml:space="preserve"> </w:t>
      </w:r>
      <w:hyperlink r:id="rId2" w:history="1">
        <w:r w:rsidR="001D5F35" w:rsidRPr="00EA7133">
          <w:rPr>
            <w:rStyle w:val="af1"/>
            <w:rFonts w:hint="eastAsia"/>
          </w:rPr>
          <w:t>http://</w:t>
        </w:r>
        <w:r w:rsidR="001D5F35" w:rsidRPr="00EA7133">
          <w:rPr>
            <w:rStyle w:val="af1"/>
          </w:rPr>
          <w:t>www.fieldtriptoolbox.org/</w:t>
        </w:r>
      </w:hyperlink>
      <w:r w:rsidR="001D5F35" w:rsidRPr="00EA7133">
        <w:t xml:space="preserve"> (last accessed on 13 November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229"/>
    <w:multiLevelType w:val="multilevel"/>
    <w:tmpl w:val="7C0C38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DateAndTime/>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7E"/>
    <w:rsid w:val="000073A7"/>
    <w:rsid w:val="00011862"/>
    <w:rsid w:val="00013D6F"/>
    <w:rsid w:val="00044224"/>
    <w:rsid w:val="00076816"/>
    <w:rsid w:val="00084C2F"/>
    <w:rsid w:val="000C006B"/>
    <w:rsid w:val="000C691B"/>
    <w:rsid w:val="000F3FDD"/>
    <w:rsid w:val="000F6542"/>
    <w:rsid w:val="00116BAB"/>
    <w:rsid w:val="0013450F"/>
    <w:rsid w:val="0015456C"/>
    <w:rsid w:val="001611DB"/>
    <w:rsid w:val="00171AD7"/>
    <w:rsid w:val="00177755"/>
    <w:rsid w:val="00181244"/>
    <w:rsid w:val="001973E9"/>
    <w:rsid w:val="001C1F4D"/>
    <w:rsid w:val="001C4200"/>
    <w:rsid w:val="001D5F35"/>
    <w:rsid w:val="001D64C5"/>
    <w:rsid w:val="001E21E4"/>
    <w:rsid w:val="001F0F9D"/>
    <w:rsid w:val="001F120E"/>
    <w:rsid w:val="001F5F15"/>
    <w:rsid w:val="00202DAA"/>
    <w:rsid w:val="002100F7"/>
    <w:rsid w:val="00216F95"/>
    <w:rsid w:val="00227BCB"/>
    <w:rsid w:val="002329C7"/>
    <w:rsid w:val="002431D6"/>
    <w:rsid w:val="002453A5"/>
    <w:rsid w:val="00250971"/>
    <w:rsid w:val="002560AB"/>
    <w:rsid w:val="00271BB3"/>
    <w:rsid w:val="00292F4D"/>
    <w:rsid w:val="00296E89"/>
    <w:rsid w:val="002A39E8"/>
    <w:rsid w:val="002C2AEC"/>
    <w:rsid w:val="002C5952"/>
    <w:rsid w:val="002F33AB"/>
    <w:rsid w:val="002F55BD"/>
    <w:rsid w:val="002F5F97"/>
    <w:rsid w:val="00300969"/>
    <w:rsid w:val="003118B4"/>
    <w:rsid w:val="003376D4"/>
    <w:rsid w:val="00352C66"/>
    <w:rsid w:val="00374334"/>
    <w:rsid w:val="00377C77"/>
    <w:rsid w:val="00393C01"/>
    <w:rsid w:val="003A0B99"/>
    <w:rsid w:val="003B364D"/>
    <w:rsid w:val="003D380E"/>
    <w:rsid w:val="003E7BFF"/>
    <w:rsid w:val="00406215"/>
    <w:rsid w:val="004246CC"/>
    <w:rsid w:val="0043154D"/>
    <w:rsid w:val="004376CB"/>
    <w:rsid w:val="0046494C"/>
    <w:rsid w:val="00464CA5"/>
    <w:rsid w:val="004765F6"/>
    <w:rsid w:val="00480852"/>
    <w:rsid w:val="00485249"/>
    <w:rsid w:val="00486436"/>
    <w:rsid w:val="00491FCD"/>
    <w:rsid w:val="004C7FF9"/>
    <w:rsid w:val="004E03E7"/>
    <w:rsid w:val="004F2F90"/>
    <w:rsid w:val="004F42E2"/>
    <w:rsid w:val="004F4D3B"/>
    <w:rsid w:val="0050191E"/>
    <w:rsid w:val="005329EB"/>
    <w:rsid w:val="00535C6E"/>
    <w:rsid w:val="005447BC"/>
    <w:rsid w:val="00544E00"/>
    <w:rsid w:val="00587903"/>
    <w:rsid w:val="00591558"/>
    <w:rsid w:val="005B49D9"/>
    <w:rsid w:val="005D028A"/>
    <w:rsid w:val="005E29DA"/>
    <w:rsid w:val="005E62B1"/>
    <w:rsid w:val="00615046"/>
    <w:rsid w:val="00637BC3"/>
    <w:rsid w:val="00652E29"/>
    <w:rsid w:val="0066098E"/>
    <w:rsid w:val="00663715"/>
    <w:rsid w:val="00671311"/>
    <w:rsid w:val="00672AD6"/>
    <w:rsid w:val="00673C99"/>
    <w:rsid w:val="006830C5"/>
    <w:rsid w:val="006A5AB3"/>
    <w:rsid w:val="006C311C"/>
    <w:rsid w:val="006C4058"/>
    <w:rsid w:val="006C7383"/>
    <w:rsid w:val="0070237D"/>
    <w:rsid w:val="007064F3"/>
    <w:rsid w:val="00724E10"/>
    <w:rsid w:val="007449CE"/>
    <w:rsid w:val="00760FBA"/>
    <w:rsid w:val="007622DC"/>
    <w:rsid w:val="007911F1"/>
    <w:rsid w:val="00793C91"/>
    <w:rsid w:val="007A7A15"/>
    <w:rsid w:val="007C5B51"/>
    <w:rsid w:val="007C6690"/>
    <w:rsid w:val="007E57DB"/>
    <w:rsid w:val="00812A7B"/>
    <w:rsid w:val="00830A8A"/>
    <w:rsid w:val="008440AF"/>
    <w:rsid w:val="008441A6"/>
    <w:rsid w:val="00847CAA"/>
    <w:rsid w:val="0086039F"/>
    <w:rsid w:val="008933C2"/>
    <w:rsid w:val="008A5182"/>
    <w:rsid w:val="008C162B"/>
    <w:rsid w:val="008C5000"/>
    <w:rsid w:val="008D2930"/>
    <w:rsid w:val="008D62D8"/>
    <w:rsid w:val="008F0F11"/>
    <w:rsid w:val="0090432C"/>
    <w:rsid w:val="009302F5"/>
    <w:rsid w:val="009348E2"/>
    <w:rsid w:val="00962F2B"/>
    <w:rsid w:val="00972CD4"/>
    <w:rsid w:val="00975601"/>
    <w:rsid w:val="0099663E"/>
    <w:rsid w:val="00996EB7"/>
    <w:rsid w:val="009B302E"/>
    <w:rsid w:val="009B6821"/>
    <w:rsid w:val="009C3805"/>
    <w:rsid w:val="009D2489"/>
    <w:rsid w:val="009F2949"/>
    <w:rsid w:val="00A042AB"/>
    <w:rsid w:val="00A049A1"/>
    <w:rsid w:val="00A11720"/>
    <w:rsid w:val="00A12A41"/>
    <w:rsid w:val="00A22A44"/>
    <w:rsid w:val="00A27E9A"/>
    <w:rsid w:val="00A35ACF"/>
    <w:rsid w:val="00A411F3"/>
    <w:rsid w:val="00A4591B"/>
    <w:rsid w:val="00A5724F"/>
    <w:rsid w:val="00A579E9"/>
    <w:rsid w:val="00A63FFF"/>
    <w:rsid w:val="00A80065"/>
    <w:rsid w:val="00A84F38"/>
    <w:rsid w:val="00AA5E36"/>
    <w:rsid w:val="00AC047B"/>
    <w:rsid w:val="00AD3DFB"/>
    <w:rsid w:val="00AE04BD"/>
    <w:rsid w:val="00AE41D8"/>
    <w:rsid w:val="00AE5973"/>
    <w:rsid w:val="00AF26ED"/>
    <w:rsid w:val="00AF618B"/>
    <w:rsid w:val="00B0232C"/>
    <w:rsid w:val="00B143DA"/>
    <w:rsid w:val="00B14793"/>
    <w:rsid w:val="00B24CD4"/>
    <w:rsid w:val="00B27178"/>
    <w:rsid w:val="00B311DC"/>
    <w:rsid w:val="00B32F6A"/>
    <w:rsid w:val="00B404A7"/>
    <w:rsid w:val="00B47730"/>
    <w:rsid w:val="00B824AF"/>
    <w:rsid w:val="00B84B75"/>
    <w:rsid w:val="00B943A9"/>
    <w:rsid w:val="00BC36A3"/>
    <w:rsid w:val="00BD083C"/>
    <w:rsid w:val="00BD26AC"/>
    <w:rsid w:val="00BD46F1"/>
    <w:rsid w:val="00BF067A"/>
    <w:rsid w:val="00C06F8A"/>
    <w:rsid w:val="00C15A53"/>
    <w:rsid w:val="00C30852"/>
    <w:rsid w:val="00C349CA"/>
    <w:rsid w:val="00C37F66"/>
    <w:rsid w:val="00C40ABD"/>
    <w:rsid w:val="00C4273D"/>
    <w:rsid w:val="00C42E13"/>
    <w:rsid w:val="00C60B2D"/>
    <w:rsid w:val="00C76121"/>
    <w:rsid w:val="00C83A4B"/>
    <w:rsid w:val="00CA696A"/>
    <w:rsid w:val="00CA7208"/>
    <w:rsid w:val="00CC63EF"/>
    <w:rsid w:val="00CC64E3"/>
    <w:rsid w:val="00CE60CA"/>
    <w:rsid w:val="00D16B87"/>
    <w:rsid w:val="00D25367"/>
    <w:rsid w:val="00D25DCF"/>
    <w:rsid w:val="00D36047"/>
    <w:rsid w:val="00D4191A"/>
    <w:rsid w:val="00D42F72"/>
    <w:rsid w:val="00D44C6B"/>
    <w:rsid w:val="00D44E8C"/>
    <w:rsid w:val="00D47EC0"/>
    <w:rsid w:val="00D571B0"/>
    <w:rsid w:val="00D612E5"/>
    <w:rsid w:val="00D81E9E"/>
    <w:rsid w:val="00D9166C"/>
    <w:rsid w:val="00D934BC"/>
    <w:rsid w:val="00D9405C"/>
    <w:rsid w:val="00DB0D4B"/>
    <w:rsid w:val="00DC0A6B"/>
    <w:rsid w:val="00DC1B68"/>
    <w:rsid w:val="00DE2BFE"/>
    <w:rsid w:val="00E137EA"/>
    <w:rsid w:val="00E13866"/>
    <w:rsid w:val="00E60859"/>
    <w:rsid w:val="00E65ACC"/>
    <w:rsid w:val="00E847A2"/>
    <w:rsid w:val="00E856B1"/>
    <w:rsid w:val="00E9745F"/>
    <w:rsid w:val="00EA7133"/>
    <w:rsid w:val="00ED006E"/>
    <w:rsid w:val="00EE7309"/>
    <w:rsid w:val="00EF3715"/>
    <w:rsid w:val="00EF5458"/>
    <w:rsid w:val="00F124A5"/>
    <w:rsid w:val="00F42A50"/>
    <w:rsid w:val="00F60EA0"/>
    <w:rsid w:val="00F76B3D"/>
    <w:rsid w:val="00F85BC1"/>
    <w:rsid w:val="00F90FC2"/>
    <w:rsid w:val="00F95953"/>
    <w:rsid w:val="00FA427E"/>
    <w:rsid w:val="00FD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2665438"/>
  <w15:docId w15:val="{45157993-6F58-8E44-B158-F857F58B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BCB"/>
    <w:pPr>
      <w:suppressAutoHyphens/>
      <w:jc w:val="both"/>
    </w:pPr>
    <w:rPr>
      <w:rFonts w:eastAsia="ＭＳ 明朝"/>
      <w:sz w:val="24"/>
      <w:szCs w:val="24"/>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6"/>
      <w:szCs w:val="16"/>
    </w:rPr>
  </w:style>
  <w:style w:type="character" w:customStyle="1" w:styleId="a4">
    <w:name w:val="コメント文字列 (文字)"/>
    <w:rPr>
      <w:lang w:bidi="he-IL"/>
    </w:rPr>
  </w:style>
  <w:style w:type="character" w:customStyle="1" w:styleId="a5">
    <w:name w:val="コメント内容 (文字)"/>
    <w:rPr>
      <w:b/>
      <w:bCs/>
      <w:lang w:bidi="he-IL"/>
    </w:rPr>
  </w:style>
  <w:style w:type="character" w:customStyle="1" w:styleId="a6">
    <w:name w:val="吹き出し (文字)"/>
    <w:rPr>
      <w:rFonts w:ascii="Tahoma" w:hAnsi="Tahoma" w:cs="Tahoma"/>
      <w:sz w:val="16"/>
      <w:szCs w:val="16"/>
      <w:lang w:bidi="he-IL"/>
    </w:rPr>
  </w:style>
  <w:style w:type="character" w:customStyle="1" w:styleId="CommentTextChar">
    <w:name w:val="Comment Text Char"/>
    <w:rPr>
      <w:sz w:val="22"/>
      <w:lang w:val="en-US" w:bidi="he-IL"/>
    </w:rPr>
  </w:style>
  <w:style w:type="paragraph" w:customStyle="1" w:styleId="Heading">
    <w:name w:val="Heading"/>
    <w:basedOn w:val="a"/>
    <w:next w:val="a7"/>
    <w:pPr>
      <w:keepNext/>
      <w:spacing w:before="240" w:after="120"/>
    </w:pPr>
    <w:rPr>
      <w:rFonts w:ascii="Liberation Sans" w:eastAsia="Noto Sans CJK SC Regular" w:hAnsi="Liberation Sans" w:cs="FreeSans"/>
      <w:sz w:val="28"/>
      <w:szCs w:val="28"/>
    </w:rPr>
  </w:style>
  <w:style w:type="paragraph" w:styleId="a7">
    <w:name w:val="Body Text"/>
    <w:basedOn w:val="a"/>
    <w:rPr>
      <w:lang w:eastAsia="ja-JP"/>
    </w:r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a">
    <w:name w:val="header"/>
    <w:basedOn w:val="a"/>
    <w:pPr>
      <w:snapToGrid w:val="0"/>
    </w:pPr>
  </w:style>
  <w:style w:type="paragraph" w:styleId="ab">
    <w:name w:val="footer"/>
    <w:basedOn w:val="a"/>
    <w:pPr>
      <w:snapToGrid w:val="0"/>
    </w:pPr>
  </w:style>
  <w:style w:type="paragraph" w:styleId="ac">
    <w:name w:val="annotation text"/>
    <w:basedOn w:val="a"/>
    <w:rPr>
      <w:sz w:val="22"/>
      <w:szCs w:val="20"/>
    </w:rPr>
  </w:style>
  <w:style w:type="paragraph" w:styleId="ad">
    <w:name w:val="annotation subject"/>
    <w:basedOn w:val="ac"/>
    <w:next w:val="ac"/>
    <w:rPr>
      <w:b/>
      <w:bCs/>
    </w:rPr>
  </w:style>
  <w:style w:type="paragraph" w:styleId="ae">
    <w:name w:val="Balloon Text"/>
    <w:basedOn w:val="a"/>
    <w:rPr>
      <w:rFonts w:ascii="Tahoma" w:hAnsi="Tahoma" w:cs="Tahoma"/>
      <w:sz w:val="18"/>
      <w:szCs w:val="16"/>
    </w:rPr>
  </w:style>
  <w:style w:type="paragraph" w:customStyle="1" w:styleId="71">
    <w:name w:val="表 (赤)  71"/>
    <w:pPr>
      <w:suppressAutoHyphens/>
    </w:pPr>
    <w:rPr>
      <w:rFonts w:eastAsia="ＭＳ 明朝"/>
      <w:sz w:val="24"/>
      <w:szCs w:val="24"/>
      <w:lang w:eastAsia="zh-CN" w:bidi="he-IL"/>
    </w:rPr>
  </w:style>
  <w:style w:type="paragraph" w:styleId="af">
    <w:name w:val="Document Map"/>
    <w:basedOn w:val="a"/>
    <w:link w:val="af0"/>
    <w:uiPriority w:val="99"/>
    <w:semiHidden/>
    <w:unhideWhenUsed/>
    <w:rsid w:val="00544E00"/>
    <w:rPr>
      <w:rFonts w:ascii="ＭＳ 明朝"/>
    </w:rPr>
  </w:style>
  <w:style w:type="character" w:customStyle="1" w:styleId="af0">
    <w:name w:val="見出しマップ (文字)"/>
    <w:link w:val="af"/>
    <w:uiPriority w:val="99"/>
    <w:semiHidden/>
    <w:rsid w:val="00544E00"/>
    <w:rPr>
      <w:rFonts w:ascii="ＭＳ 明朝" w:eastAsia="ＭＳ 明朝"/>
      <w:sz w:val="24"/>
      <w:szCs w:val="24"/>
      <w:lang w:eastAsia="zh-CN" w:bidi="he-IL"/>
    </w:rPr>
  </w:style>
  <w:style w:type="character" w:styleId="af1">
    <w:name w:val="Hyperlink"/>
    <w:uiPriority w:val="99"/>
    <w:unhideWhenUsed/>
    <w:rsid w:val="00A27E9A"/>
    <w:rPr>
      <w:color w:val="0000FF"/>
      <w:u w:val="single"/>
    </w:rPr>
  </w:style>
  <w:style w:type="paragraph" w:styleId="af2">
    <w:name w:val="footnote text"/>
    <w:basedOn w:val="a"/>
    <w:link w:val="af3"/>
    <w:uiPriority w:val="99"/>
    <w:unhideWhenUsed/>
    <w:rsid w:val="00116BAB"/>
    <w:pPr>
      <w:widowControl w:val="0"/>
      <w:suppressAutoHyphens w:val="0"/>
      <w:snapToGrid w:val="0"/>
      <w:jc w:val="left"/>
    </w:pPr>
    <w:rPr>
      <w:lang w:eastAsia="ja-JP" w:bidi="ar-SA"/>
    </w:rPr>
  </w:style>
  <w:style w:type="character" w:customStyle="1" w:styleId="af3">
    <w:name w:val="脚注文字列 (文字)"/>
    <w:basedOn w:val="a0"/>
    <w:link w:val="af2"/>
    <w:uiPriority w:val="99"/>
    <w:rsid w:val="00116BAB"/>
    <w:rPr>
      <w:rFonts w:eastAsia="ＭＳ 明朝"/>
      <w:sz w:val="24"/>
      <w:szCs w:val="24"/>
    </w:rPr>
  </w:style>
  <w:style w:type="character" w:styleId="af4">
    <w:name w:val="footnote reference"/>
    <w:uiPriority w:val="99"/>
    <w:unhideWhenUsed/>
    <w:rsid w:val="00116BAB"/>
    <w:rPr>
      <w:vertAlign w:val="superscript"/>
    </w:rPr>
  </w:style>
  <w:style w:type="paragraph" w:styleId="af5">
    <w:name w:val="Revision"/>
    <w:hidden/>
    <w:uiPriority w:val="62"/>
    <w:semiHidden/>
    <w:rsid w:val="00D571B0"/>
    <w:rPr>
      <w:rFonts w:eastAsia="ＭＳ 明朝"/>
      <w:sz w:val="24"/>
      <w:szCs w:val="24"/>
      <w:lang w:eastAsia="zh-CN" w:bidi="he-IL"/>
    </w:rPr>
  </w:style>
  <w:style w:type="character" w:styleId="af6">
    <w:name w:val="Unresolved Mention"/>
    <w:basedOn w:val="a0"/>
    <w:uiPriority w:val="99"/>
    <w:semiHidden/>
    <w:unhideWhenUsed/>
    <w:rsid w:val="001D5F35"/>
    <w:rPr>
      <w:color w:val="605E5C"/>
      <w:shd w:val="clear" w:color="auto" w:fill="E1DFDD"/>
    </w:rPr>
  </w:style>
  <w:style w:type="character" w:styleId="af7">
    <w:name w:val="FollowedHyperlink"/>
    <w:basedOn w:val="a0"/>
    <w:uiPriority w:val="99"/>
    <w:semiHidden/>
    <w:unhideWhenUsed/>
    <w:rsid w:val="001D5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2523">
      <w:bodyDiv w:val="1"/>
      <w:marLeft w:val="0"/>
      <w:marRight w:val="0"/>
      <w:marTop w:val="0"/>
      <w:marBottom w:val="0"/>
      <w:divBdr>
        <w:top w:val="none" w:sz="0" w:space="0" w:color="auto"/>
        <w:left w:val="none" w:sz="0" w:space="0" w:color="auto"/>
        <w:bottom w:val="none" w:sz="0" w:space="0" w:color="auto"/>
        <w:right w:val="none" w:sz="0" w:space="0" w:color="auto"/>
      </w:divBdr>
    </w:div>
    <w:div w:id="1069618305">
      <w:bodyDiv w:val="1"/>
      <w:marLeft w:val="0"/>
      <w:marRight w:val="0"/>
      <w:marTop w:val="0"/>
      <w:marBottom w:val="0"/>
      <w:divBdr>
        <w:top w:val="none" w:sz="0" w:space="0" w:color="auto"/>
        <w:left w:val="none" w:sz="0" w:space="0" w:color="auto"/>
        <w:bottom w:val="none" w:sz="0" w:space="0" w:color="auto"/>
        <w:right w:val="none" w:sz="0" w:space="0" w:color="auto"/>
      </w:divBdr>
    </w:div>
    <w:div w:id="1321344780">
      <w:bodyDiv w:val="1"/>
      <w:marLeft w:val="0"/>
      <w:marRight w:val="0"/>
      <w:marTop w:val="0"/>
      <w:marBottom w:val="0"/>
      <w:divBdr>
        <w:top w:val="none" w:sz="0" w:space="0" w:color="auto"/>
        <w:left w:val="none" w:sz="0" w:space="0" w:color="auto"/>
        <w:bottom w:val="none" w:sz="0" w:space="0" w:color="auto"/>
        <w:right w:val="none" w:sz="0" w:space="0" w:color="auto"/>
      </w:divBdr>
    </w:div>
    <w:div w:id="173450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ieldtriptoolbox.org/" TargetMode="External"/><Relationship Id="rId1" Type="http://schemas.openxmlformats.org/officeDocument/2006/relationships/hyperlink" Target="https://sccn.ucsd.edu/eeg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2012</Words>
  <Characters>11470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dc:creator>
  <cp:keywords/>
  <dc:description/>
  <cp:lastModifiedBy>Masahito MORITA</cp:lastModifiedBy>
  <cp:revision>3</cp:revision>
  <cp:lastPrinted>1899-12-31T15:00:00Z</cp:lastPrinted>
  <dcterms:created xsi:type="dcterms:W3CDTF">2019-11-21T11:57:00Z</dcterms:created>
  <dcterms:modified xsi:type="dcterms:W3CDTF">2019-11-21T11:59:00Z</dcterms:modified>
</cp:coreProperties>
</file>