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1539" w14:textId="0614FFA2" w:rsidR="004204FD" w:rsidRDefault="004204FD" w:rsidP="006535E7">
      <w:pPr>
        <w:jc w:val="center"/>
        <w:rPr>
          <w:rFonts w:ascii="Times New Roman" w:hAnsi="Times New Roman" w:cs="Times New Roman"/>
          <w:b/>
          <w:sz w:val="22"/>
        </w:rPr>
      </w:pPr>
      <w:r>
        <w:rPr>
          <w:rFonts w:ascii="Times New Roman" w:hAnsi="Times New Roman" w:cs="Times New Roman" w:hint="eastAsia"/>
          <w:b/>
          <w:sz w:val="22"/>
        </w:rPr>
        <w:t>Supplementary</w:t>
      </w:r>
      <w:r>
        <w:rPr>
          <w:rFonts w:ascii="Times New Roman" w:hAnsi="Times New Roman" w:cs="Times New Roman"/>
          <w:b/>
          <w:sz w:val="22"/>
        </w:rPr>
        <w:t xml:space="preserve"> file</w:t>
      </w:r>
      <w:r w:rsidR="007B4B66">
        <w:rPr>
          <w:rFonts w:ascii="Times New Roman" w:hAnsi="Times New Roman" w:cs="Times New Roman"/>
          <w:b/>
          <w:sz w:val="22"/>
        </w:rPr>
        <w:t xml:space="preserve"> 2</w:t>
      </w:r>
    </w:p>
    <w:p w14:paraId="794DB145" w14:textId="77777777" w:rsidR="004204FD" w:rsidRDefault="004204FD" w:rsidP="006535E7">
      <w:pPr>
        <w:jc w:val="center"/>
        <w:rPr>
          <w:rFonts w:ascii="Times New Roman" w:hAnsi="Times New Roman" w:cs="Times New Roman"/>
          <w:b/>
          <w:sz w:val="22"/>
        </w:rPr>
      </w:pPr>
    </w:p>
    <w:p w14:paraId="5C5111E2" w14:textId="3A0957CB" w:rsidR="0010524C" w:rsidRPr="00D531CD" w:rsidRDefault="0010524C" w:rsidP="00D531CD">
      <w:pPr>
        <w:jc w:val="center"/>
        <w:rPr>
          <w:rFonts w:ascii="Times New Roman" w:hAnsi="Times New Roman" w:cs="Times New Roman"/>
          <w:b/>
          <w:sz w:val="22"/>
        </w:rPr>
      </w:pPr>
      <w:r w:rsidRPr="00D531CD">
        <w:rPr>
          <w:rFonts w:ascii="Times New Roman" w:hAnsi="Times New Roman" w:cs="Times New Roman"/>
          <w:b/>
          <w:sz w:val="22"/>
        </w:rPr>
        <w:t>Results</w:t>
      </w:r>
    </w:p>
    <w:p w14:paraId="1379CE3B" w14:textId="2FE3385B" w:rsidR="0010524C" w:rsidRDefault="0010524C" w:rsidP="0010524C"/>
    <w:p w14:paraId="3AF5D8B8" w14:textId="4EA162B8" w:rsidR="009D58FA" w:rsidRPr="009D58FA" w:rsidRDefault="009D58FA" w:rsidP="0010524C">
      <w:pPr>
        <w:rPr>
          <w:b/>
        </w:rPr>
      </w:pPr>
      <w:r w:rsidRPr="009D58FA">
        <w:rPr>
          <w:rFonts w:hint="eastAsia"/>
          <w:b/>
        </w:rPr>
        <w:t>Manipulation check</w:t>
      </w:r>
      <w:r w:rsidRPr="009D58FA">
        <w:rPr>
          <w:b/>
        </w:rPr>
        <w:t xml:space="preserve"> of expectation</w:t>
      </w:r>
    </w:p>
    <w:p w14:paraId="6CA79BE2" w14:textId="4E40200A" w:rsidR="009D58FA" w:rsidRDefault="00334AD5" w:rsidP="0010524C">
      <w:r>
        <w:rPr>
          <w:rFonts w:ascii="Times New Roman" w:hAnsi="Times New Roman" w:cs="Times New Roman"/>
          <w:sz w:val="24"/>
          <w:szCs w:val="24"/>
        </w:rPr>
        <w:t>Figure</w:t>
      </w:r>
      <w:r w:rsidR="007A5AC5">
        <w:rPr>
          <w:rFonts w:ascii="Times New Roman" w:hAnsi="Times New Roman" w:cs="Times New Roman" w:hint="eastAsia"/>
          <w:sz w:val="24"/>
          <w:szCs w:val="24"/>
        </w:rPr>
        <w:t>s</w:t>
      </w:r>
      <w:bookmarkStart w:id="0" w:name="_GoBack"/>
      <w:bookmarkEnd w:id="0"/>
      <w:r>
        <w:rPr>
          <w:rFonts w:ascii="Times New Roman" w:hAnsi="Times New Roman" w:cs="Times New Roman"/>
          <w:sz w:val="24"/>
          <w:szCs w:val="24"/>
        </w:rPr>
        <w:t xml:space="preserve"> 3 and 4 show</w:t>
      </w:r>
      <w:r w:rsidR="00B076C9">
        <w:rPr>
          <w:rFonts w:ascii="Times New Roman" w:hAnsi="Times New Roman" w:cs="Times New Roman"/>
          <w:sz w:val="24"/>
          <w:szCs w:val="24"/>
        </w:rPr>
        <w:t xml:space="preserve"> </w:t>
      </w:r>
      <w:r w:rsidR="009610CF">
        <w:rPr>
          <w:rFonts w:ascii="Times New Roman" w:hAnsi="Times New Roman" w:cs="Times New Roman"/>
          <w:sz w:val="24"/>
          <w:szCs w:val="24"/>
        </w:rPr>
        <w:t xml:space="preserve">the </w:t>
      </w:r>
      <w:r w:rsidR="00B076C9">
        <w:rPr>
          <w:rFonts w:ascii="Times New Roman" w:hAnsi="Times New Roman" w:cs="Times New Roman"/>
          <w:sz w:val="24"/>
          <w:szCs w:val="24"/>
        </w:rPr>
        <w:t xml:space="preserve">means of expectation by gender and conditions. </w:t>
      </w:r>
      <w:r w:rsidR="00923563">
        <w:rPr>
          <w:rFonts w:ascii="Times New Roman" w:hAnsi="Times New Roman" w:cs="Times New Roman"/>
          <w:sz w:val="24"/>
          <w:szCs w:val="24"/>
        </w:rPr>
        <w:t>To test whether the manipulation of group knowledge was success, a</w:t>
      </w:r>
      <w:r w:rsidR="009D58FA" w:rsidRPr="00DA4E7E">
        <w:rPr>
          <w:rFonts w:ascii="Times New Roman" w:hAnsi="Times New Roman" w:cs="Times New Roman"/>
          <w:sz w:val="24"/>
          <w:szCs w:val="24"/>
        </w:rPr>
        <w:t xml:space="preserve"> 2 (gender) × 2 (threat condition) × 5 (knowledge) ANOVA on expectation revealed a significant main effect of knowledge (</w:t>
      </w:r>
      <w:r w:rsidR="009D58FA" w:rsidRPr="00DA4E7E">
        <w:rPr>
          <w:rFonts w:ascii="Times New Roman" w:hAnsi="Times New Roman" w:cs="Times New Roman"/>
          <w:i/>
          <w:sz w:val="24"/>
          <w:szCs w:val="24"/>
        </w:rPr>
        <w:t>F</w:t>
      </w:r>
      <w:r w:rsidR="009D58FA">
        <w:rPr>
          <w:rFonts w:ascii="Times New Roman" w:hAnsi="Times New Roman" w:cs="Times New Roman"/>
          <w:i/>
          <w:sz w:val="24"/>
          <w:szCs w:val="24"/>
        </w:rPr>
        <w:t xml:space="preserve"> </w:t>
      </w:r>
      <w:r w:rsidR="009D58FA" w:rsidRPr="00DA4E7E">
        <w:rPr>
          <w:rFonts w:ascii="Times New Roman" w:hAnsi="Times New Roman" w:cs="Times New Roman"/>
          <w:sz w:val="24"/>
          <w:szCs w:val="24"/>
        </w:rPr>
        <w:t xml:space="preserve">(4, 620) = 72.27,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&lt; .01, η</w:t>
      </w:r>
      <w:r w:rsidR="009D58FA" w:rsidRPr="00DA4E7E">
        <w:rPr>
          <w:rFonts w:ascii="Times New Roman" w:hAnsi="Times New Roman" w:cs="Times New Roman"/>
          <w:sz w:val="24"/>
          <w:szCs w:val="24"/>
          <w:vertAlign w:val="superscript"/>
        </w:rPr>
        <w:t>2</w:t>
      </w:r>
      <w:r w:rsidR="009D58FA" w:rsidRPr="00DA4E7E">
        <w:rPr>
          <w:rFonts w:ascii="Times New Roman" w:hAnsi="Times New Roman" w:cs="Times New Roman"/>
          <w:sz w:val="24"/>
          <w:szCs w:val="24"/>
          <w:vertAlign w:val="subscript"/>
        </w:rPr>
        <w:t>e</w:t>
      </w:r>
      <w:r w:rsidR="009D58FA" w:rsidRPr="00DA4E7E">
        <w:rPr>
          <w:rFonts w:ascii="Times New Roman" w:hAnsi="Times New Roman" w:cs="Times New Roman"/>
          <w:sz w:val="24"/>
          <w:szCs w:val="24"/>
        </w:rPr>
        <w:t xml:space="preserve"> = .32). Other main effects (</w:t>
      </w:r>
      <w:r w:rsidR="009D58FA" w:rsidRPr="00DA4E7E">
        <w:rPr>
          <w:rFonts w:ascii="Times New Roman" w:hAnsi="Times New Roman" w:cs="Times New Roman"/>
          <w:i/>
          <w:sz w:val="24"/>
          <w:szCs w:val="24"/>
        </w:rPr>
        <w:t>F</w:t>
      </w:r>
      <w:r w:rsidR="009D58FA" w:rsidRPr="00DA4E7E">
        <w:rPr>
          <w:rFonts w:ascii="Times New Roman" w:hAnsi="Times New Roman" w:cs="Times New Roman"/>
          <w:sz w:val="24"/>
          <w:szCs w:val="24"/>
        </w:rPr>
        <w:t>s</w:t>
      </w:r>
      <w:r w:rsidR="009D58FA">
        <w:rPr>
          <w:rFonts w:ascii="Times New Roman" w:hAnsi="Times New Roman" w:cs="Times New Roman"/>
          <w:sz w:val="24"/>
          <w:szCs w:val="24"/>
        </w:rPr>
        <w:t xml:space="preserve"> </w:t>
      </w:r>
      <w:r w:rsidR="009D58FA" w:rsidRPr="00DA4E7E">
        <w:rPr>
          <w:rFonts w:ascii="Times New Roman" w:hAnsi="Times New Roman" w:cs="Times New Roman"/>
          <w:sz w:val="24"/>
          <w:szCs w:val="24"/>
        </w:rPr>
        <w:t xml:space="preserve">(1, 155) &lt;0.06,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s&gt; .80, η</w:t>
      </w:r>
      <w:r w:rsidR="009D58FA" w:rsidRPr="00DA4E7E">
        <w:rPr>
          <w:rFonts w:ascii="Times New Roman" w:hAnsi="Times New Roman" w:cs="Times New Roman"/>
          <w:sz w:val="24"/>
          <w:szCs w:val="24"/>
          <w:vertAlign w:val="superscript"/>
        </w:rPr>
        <w:t>2</w:t>
      </w:r>
      <w:r w:rsidR="009D58FA" w:rsidRPr="00DA4E7E">
        <w:rPr>
          <w:rFonts w:ascii="Times New Roman" w:hAnsi="Times New Roman" w:cs="Times New Roman"/>
          <w:sz w:val="24"/>
          <w:szCs w:val="24"/>
          <w:vertAlign w:val="subscript"/>
        </w:rPr>
        <w:t>e</w:t>
      </w:r>
      <w:r w:rsidR="009D58FA" w:rsidRPr="00DA4E7E">
        <w:rPr>
          <w:rFonts w:ascii="Times New Roman" w:hAnsi="Times New Roman" w:cs="Times New Roman"/>
          <w:sz w:val="24"/>
          <w:szCs w:val="24"/>
        </w:rPr>
        <w:t>s &lt; .00) and interaction effects (</w:t>
      </w:r>
      <w:r w:rsidR="009D58FA" w:rsidRPr="00DA4E7E">
        <w:rPr>
          <w:rFonts w:ascii="Times New Roman" w:hAnsi="Times New Roman" w:cs="Times New Roman"/>
          <w:i/>
          <w:sz w:val="24"/>
          <w:szCs w:val="24"/>
        </w:rPr>
        <w:t>F</w:t>
      </w:r>
      <w:r w:rsidR="009D58FA" w:rsidRPr="00DA4E7E">
        <w:rPr>
          <w:rFonts w:ascii="Times New Roman" w:hAnsi="Times New Roman" w:cs="Times New Roman"/>
          <w:sz w:val="24"/>
          <w:szCs w:val="24"/>
        </w:rPr>
        <w:t xml:space="preserve">s (1/4, 155/620) &lt;0.86,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s&gt; .71, η</w:t>
      </w:r>
      <w:r w:rsidR="009D58FA" w:rsidRPr="00DA4E7E">
        <w:rPr>
          <w:rFonts w:ascii="Times New Roman" w:hAnsi="Times New Roman" w:cs="Times New Roman"/>
          <w:sz w:val="24"/>
          <w:szCs w:val="24"/>
          <w:vertAlign w:val="superscript"/>
        </w:rPr>
        <w:t>2</w:t>
      </w:r>
      <w:r w:rsidR="009D58FA" w:rsidRPr="00DA4E7E">
        <w:rPr>
          <w:rFonts w:ascii="Times New Roman" w:hAnsi="Times New Roman" w:cs="Times New Roman"/>
          <w:sz w:val="24"/>
          <w:szCs w:val="24"/>
          <w:vertAlign w:val="subscript"/>
        </w:rPr>
        <w:t>e</w:t>
      </w:r>
      <w:r w:rsidR="009D58FA" w:rsidRPr="00DA4E7E">
        <w:rPr>
          <w:rFonts w:ascii="Times New Roman" w:hAnsi="Times New Roman" w:cs="Times New Roman"/>
          <w:sz w:val="24"/>
          <w:szCs w:val="24"/>
        </w:rPr>
        <w:t xml:space="preserve"> s&lt; .07) were not significant. A 2 (threat condition) × 5 (knowledge) ANOVA by gender also revealed a significant main effect of knowledge (</w:t>
      </w:r>
      <w:r w:rsidR="009D58FA" w:rsidRPr="00DA4E7E">
        <w:rPr>
          <w:rFonts w:ascii="Times New Roman" w:hAnsi="Times New Roman" w:cs="Times New Roman"/>
          <w:i/>
          <w:sz w:val="24"/>
          <w:szCs w:val="24"/>
        </w:rPr>
        <w:t>F</w:t>
      </w:r>
      <w:r w:rsidR="009D58FA" w:rsidRPr="00DA4E7E">
        <w:rPr>
          <w:rFonts w:ascii="Times New Roman" w:hAnsi="Times New Roman" w:cs="Times New Roman"/>
          <w:sz w:val="24"/>
          <w:szCs w:val="24"/>
        </w:rPr>
        <w:t>s</w:t>
      </w:r>
      <w:r w:rsidR="009D58FA">
        <w:rPr>
          <w:rFonts w:ascii="Times New Roman" w:hAnsi="Times New Roman" w:cs="Times New Roman"/>
          <w:sz w:val="24"/>
          <w:szCs w:val="24"/>
        </w:rPr>
        <w:t xml:space="preserve"> </w:t>
      </w:r>
      <w:r w:rsidR="009D58FA" w:rsidRPr="00DA4E7E">
        <w:rPr>
          <w:rFonts w:ascii="Times New Roman" w:hAnsi="Times New Roman" w:cs="Times New Roman"/>
          <w:sz w:val="24"/>
          <w:szCs w:val="24"/>
        </w:rPr>
        <w:t xml:space="preserve">(4, 620) &gt;32.99,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s&lt; .01, η</w:t>
      </w:r>
      <w:r w:rsidR="009D58FA" w:rsidRPr="00DA4E7E">
        <w:rPr>
          <w:rFonts w:ascii="Times New Roman" w:hAnsi="Times New Roman" w:cs="Times New Roman"/>
          <w:sz w:val="24"/>
          <w:szCs w:val="24"/>
          <w:vertAlign w:val="superscript"/>
        </w:rPr>
        <w:t>2</w:t>
      </w:r>
      <w:r w:rsidR="009D58FA" w:rsidRPr="00DA4E7E">
        <w:rPr>
          <w:rFonts w:ascii="Times New Roman" w:hAnsi="Times New Roman" w:cs="Times New Roman"/>
          <w:sz w:val="24"/>
          <w:szCs w:val="24"/>
          <w:vertAlign w:val="subscript"/>
        </w:rPr>
        <w:t>e</w:t>
      </w:r>
      <w:r w:rsidR="009D58FA" w:rsidRPr="00DA4E7E">
        <w:rPr>
          <w:rFonts w:ascii="Times New Roman" w:hAnsi="Times New Roman" w:cs="Times New Roman"/>
          <w:sz w:val="24"/>
          <w:szCs w:val="24"/>
        </w:rPr>
        <w:t>&gt; .31) and no other significant effects (</w:t>
      </w:r>
      <w:r w:rsidR="009D58FA" w:rsidRPr="00DA4E7E">
        <w:rPr>
          <w:rFonts w:ascii="Times New Roman" w:hAnsi="Times New Roman" w:cs="Times New Roman"/>
          <w:i/>
          <w:sz w:val="24"/>
          <w:szCs w:val="24"/>
        </w:rPr>
        <w:t>F</w:t>
      </w:r>
      <w:r w:rsidR="009D58FA" w:rsidRPr="00DA4E7E">
        <w:rPr>
          <w:rFonts w:ascii="Times New Roman" w:hAnsi="Times New Roman" w:cs="Times New Roman"/>
          <w:sz w:val="24"/>
          <w:szCs w:val="24"/>
        </w:rPr>
        <w:t>s</w:t>
      </w:r>
      <w:r w:rsidR="009D58FA">
        <w:rPr>
          <w:rFonts w:ascii="Times New Roman" w:hAnsi="Times New Roman" w:cs="Times New Roman"/>
          <w:sz w:val="24"/>
          <w:szCs w:val="24"/>
        </w:rPr>
        <w:t xml:space="preserve"> </w:t>
      </w:r>
      <w:r w:rsidR="009D58FA" w:rsidRPr="00DA4E7E">
        <w:rPr>
          <w:rFonts w:ascii="Times New Roman" w:hAnsi="Times New Roman" w:cs="Times New Roman"/>
          <w:sz w:val="24"/>
          <w:szCs w:val="24"/>
        </w:rPr>
        <w:t xml:space="preserve">(1/4, 155/620) &lt;1.07,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s&gt; .35, η</w:t>
      </w:r>
      <w:r w:rsidR="009D58FA" w:rsidRPr="00DA4E7E">
        <w:rPr>
          <w:rFonts w:ascii="Times New Roman" w:hAnsi="Times New Roman" w:cs="Times New Roman"/>
          <w:sz w:val="24"/>
          <w:szCs w:val="24"/>
          <w:vertAlign w:val="superscript"/>
        </w:rPr>
        <w:t>2</w:t>
      </w:r>
      <w:r w:rsidR="009D58FA" w:rsidRPr="00DA4E7E">
        <w:rPr>
          <w:rFonts w:ascii="Times New Roman" w:hAnsi="Times New Roman" w:cs="Times New Roman"/>
          <w:sz w:val="24"/>
          <w:szCs w:val="24"/>
          <w:vertAlign w:val="subscript"/>
        </w:rPr>
        <w:t>e</w:t>
      </w:r>
      <w:r w:rsidR="009D58FA" w:rsidRPr="00DA4E7E">
        <w:rPr>
          <w:rFonts w:ascii="Times New Roman" w:hAnsi="Times New Roman" w:cs="Times New Roman"/>
          <w:sz w:val="24"/>
          <w:szCs w:val="24"/>
        </w:rPr>
        <w:t>s &lt; .01). Multiple comparisons using the Holm’s method in each gender group revealed that the ingroup-bilateral condition was significantly different from the other four conditions among both women and men (</w:t>
      </w:r>
      <w:r w:rsidR="009D58FA" w:rsidRPr="00DA4E7E">
        <w:rPr>
          <w:rFonts w:ascii="Times New Roman" w:hAnsi="Times New Roman" w:cs="Times New Roman"/>
          <w:i/>
          <w:sz w:val="24"/>
          <w:szCs w:val="24"/>
        </w:rPr>
        <w:t>t</w:t>
      </w:r>
      <w:r w:rsidR="009D58FA" w:rsidRPr="00DA4E7E">
        <w:rPr>
          <w:rFonts w:ascii="Times New Roman" w:hAnsi="Times New Roman" w:cs="Times New Roman"/>
          <w:sz w:val="24"/>
          <w:szCs w:val="24"/>
        </w:rPr>
        <w:t xml:space="preserve">s(155) &gt;6.38,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 xml:space="preserve">s &lt; .01, </w:t>
      </w:r>
      <w:r w:rsidR="009D58FA" w:rsidRPr="00DA4E7E">
        <w:rPr>
          <w:rFonts w:ascii="Times New Roman" w:hAnsi="Times New Roman" w:cs="Times New Roman"/>
          <w:i/>
          <w:sz w:val="24"/>
          <w:szCs w:val="24"/>
        </w:rPr>
        <w:t>d</w:t>
      </w:r>
      <w:r w:rsidR="009D58FA" w:rsidRPr="00DA4E7E">
        <w:rPr>
          <w:rFonts w:ascii="Times New Roman" w:hAnsi="Times New Roman" w:cs="Times New Roman"/>
          <w:sz w:val="24"/>
          <w:szCs w:val="24"/>
        </w:rPr>
        <w:t>s &gt; .53). These results showed that ingroup cooperation was enhanced only in the situation wherein participants can expect reciprocity from their partner in both genders. This is consistent with previous studies (e.g., Yamagishi, Jin, &amp; Kiyonari, 1999). Therefore, the manipulation of the knowledge of group belonging was successful. Holm’s method also revealed significant differences between the unknown condition and the outgroup-bilateral condition (</w:t>
      </w:r>
      <w:r w:rsidR="009D58FA" w:rsidRPr="00DA4E7E">
        <w:rPr>
          <w:rFonts w:ascii="Times New Roman" w:hAnsi="Times New Roman" w:cs="Times New Roman"/>
          <w:i/>
          <w:sz w:val="24"/>
          <w:szCs w:val="24"/>
        </w:rPr>
        <w:t>t</w:t>
      </w:r>
      <w:r w:rsidR="009D58FA" w:rsidRPr="00DA4E7E">
        <w:rPr>
          <w:rFonts w:ascii="Times New Roman" w:hAnsi="Times New Roman" w:cs="Times New Roman"/>
          <w:sz w:val="24"/>
          <w:szCs w:val="24"/>
        </w:rPr>
        <w:t xml:space="preserve">s(155) &gt; 2.63,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 xml:space="preserve">s &lt; .04, </w:t>
      </w:r>
      <w:r w:rsidR="009D58FA" w:rsidRPr="00DA4E7E">
        <w:rPr>
          <w:rFonts w:ascii="Times New Roman" w:hAnsi="Times New Roman" w:cs="Times New Roman"/>
          <w:i/>
          <w:sz w:val="24"/>
          <w:szCs w:val="24"/>
        </w:rPr>
        <w:t>d</w:t>
      </w:r>
      <w:r w:rsidR="009D58FA" w:rsidRPr="00DA4E7E">
        <w:rPr>
          <w:rFonts w:ascii="Times New Roman" w:hAnsi="Times New Roman" w:cs="Times New Roman"/>
          <w:sz w:val="24"/>
          <w:szCs w:val="24"/>
        </w:rPr>
        <w:t>s &gt; .18), and between the outgroup-bilateral and unilateral condition (</w:t>
      </w:r>
      <w:r w:rsidR="009D58FA" w:rsidRPr="00DA4E7E">
        <w:rPr>
          <w:rFonts w:ascii="Times New Roman" w:hAnsi="Times New Roman" w:cs="Times New Roman"/>
          <w:i/>
          <w:sz w:val="24"/>
          <w:szCs w:val="24"/>
        </w:rPr>
        <w:t>t</w:t>
      </w:r>
      <w:r w:rsidR="009D58FA" w:rsidRPr="00DA4E7E">
        <w:rPr>
          <w:rFonts w:ascii="Times New Roman" w:hAnsi="Times New Roman" w:cs="Times New Roman"/>
          <w:sz w:val="24"/>
          <w:szCs w:val="24"/>
        </w:rPr>
        <w:t xml:space="preserve">s(155) &gt; 3.36,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 xml:space="preserve">s &lt; .01, </w:t>
      </w:r>
      <w:r w:rsidR="009D58FA" w:rsidRPr="00DA4E7E">
        <w:rPr>
          <w:rFonts w:ascii="Times New Roman" w:hAnsi="Times New Roman" w:cs="Times New Roman"/>
          <w:i/>
          <w:sz w:val="24"/>
          <w:szCs w:val="24"/>
        </w:rPr>
        <w:t>d</w:t>
      </w:r>
      <w:r w:rsidR="009D58FA" w:rsidRPr="00DA4E7E">
        <w:rPr>
          <w:rFonts w:ascii="Times New Roman" w:hAnsi="Times New Roman" w:cs="Times New Roman"/>
          <w:sz w:val="24"/>
          <w:szCs w:val="24"/>
        </w:rPr>
        <w:t>s &gt; .24) among both women and men. Only men showed a significant difference between the ingroup-unilateral condition and the outgroup-bilateral condition (</w:t>
      </w:r>
      <w:r w:rsidR="009D58FA" w:rsidRPr="00DA4E7E">
        <w:rPr>
          <w:rFonts w:ascii="Times New Roman" w:hAnsi="Times New Roman" w:cs="Times New Roman"/>
          <w:i/>
          <w:sz w:val="24"/>
          <w:szCs w:val="24"/>
        </w:rPr>
        <w:t>t</w:t>
      </w:r>
      <w:r w:rsidR="009D58FA" w:rsidRPr="00DA4E7E">
        <w:rPr>
          <w:rFonts w:ascii="Times New Roman" w:hAnsi="Times New Roman" w:cs="Times New Roman"/>
          <w:sz w:val="24"/>
          <w:szCs w:val="24"/>
        </w:rPr>
        <w:t xml:space="preserve">(155) = 4.13, </w:t>
      </w:r>
      <w:r w:rsidR="009D58FA" w:rsidRPr="00DA4E7E">
        <w:rPr>
          <w:rFonts w:ascii="Times New Roman" w:hAnsi="Times New Roman" w:cs="Times New Roman"/>
          <w:i/>
          <w:sz w:val="24"/>
          <w:szCs w:val="24"/>
        </w:rPr>
        <w:t>p</w:t>
      </w:r>
      <w:r w:rsidR="009D58FA" w:rsidRPr="00DA4E7E">
        <w:rPr>
          <w:rFonts w:ascii="Times New Roman" w:hAnsi="Times New Roman" w:cs="Times New Roman"/>
          <w:sz w:val="24"/>
          <w:szCs w:val="24"/>
        </w:rPr>
        <w:t xml:space="preserve">&lt; .01, </w:t>
      </w:r>
      <w:r w:rsidR="009D58FA" w:rsidRPr="00DA4E7E">
        <w:rPr>
          <w:rFonts w:ascii="Times New Roman" w:hAnsi="Times New Roman" w:cs="Times New Roman"/>
          <w:i/>
          <w:sz w:val="24"/>
          <w:szCs w:val="24"/>
        </w:rPr>
        <w:t>d</w:t>
      </w:r>
      <w:r w:rsidR="009D58FA" w:rsidRPr="00DA4E7E">
        <w:rPr>
          <w:rFonts w:ascii="Times New Roman" w:hAnsi="Times New Roman" w:cs="Times New Roman"/>
          <w:sz w:val="24"/>
          <w:szCs w:val="24"/>
        </w:rPr>
        <w:t xml:space="preserve"> = .33).</w:t>
      </w:r>
    </w:p>
    <w:p w14:paraId="737BA0F9" w14:textId="04443706" w:rsidR="009D58FA" w:rsidRDefault="009D58FA" w:rsidP="0010524C"/>
    <w:p w14:paraId="47FF83CC" w14:textId="11576E7E" w:rsidR="009D58FA" w:rsidRDefault="009D58FA" w:rsidP="0010524C"/>
    <w:p w14:paraId="449ABF48" w14:textId="09124AC5" w:rsidR="009D58FA" w:rsidRDefault="007A5AC5" w:rsidP="0010524C">
      <w:r>
        <w:rPr>
          <w:noProof/>
        </w:rPr>
        <w:lastRenderedPageBreak/>
        <w:pict w14:anchorId="1DCB2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3" style="width:230.5pt;height:183pt;mso-width-percent:0;mso-height-percent:0;mso-width-percent:0;mso-height-percent:0">
            <v:imagedata r:id="rId7" o:title="Fig3"/>
          </v:shape>
        </w:pict>
      </w:r>
    </w:p>
    <w:p w14:paraId="192DDC45" w14:textId="6D35378A" w:rsidR="009D58FA" w:rsidRDefault="00F95A91" w:rsidP="0010524C">
      <w:r>
        <w:rPr>
          <w:noProof/>
        </w:rPr>
        <w:drawing>
          <wp:inline distT="0" distB="0" distL="0" distR="0" wp14:anchorId="6501233E" wp14:editId="77B1FB5B">
            <wp:extent cx="2927350" cy="2324100"/>
            <wp:effectExtent l="0" t="0" r="6350" b="0"/>
            <wp:docPr id="1" name="図 1"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0" cy="2324100"/>
                    </a:xfrm>
                    <a:prstGeom prst="rect">
                      <a:avLst/>
                    </a:prstGeom>
                    <a:noFill/>
                    <a:ln>
                      <a:noFill/>
                    </a:ln>
                  </pic:spPr>
                </pic:pic>
              </a:graphicData>
            </a:graphic>
          </wp:inline>
        </w:drawing>
      </w:r>
    </w:p>
    <w:p w14:paraId="2DA0ADD5" w14:textId="77777777" w:rsidR="00FF6769" w:rsidRDefault="00FF6769" w:rsidP="0010524C"/>
    <w:p w14:paraId="79FB0C9C" w14:textId="010B5342" w:rsidR="00B9684F" w:rsidRPr="00B9684F" w:rsidRDefault="00B9684F" w:rsidP="0010524C">
      <w:pPr>
        <w:rPr>
          <w:b/>
        </w:rPr>
      </w:pPr>
      <w:r w:rsidRPr="00B9684F">
        <w:rPr>
          <w:b/>
        </w:rPr>
        <w:t>The additional analysis</w:t>
      </w:r>
      <w:r w:rsidR="001003C3">
        <w:rPr>
          <w:b/>
        </w:rPr>
        <w:t xml:space="preserve"> of rewards</w:t>
      </w:r>
      <w:r w:rsidR="003120D3">
        <w:rPr>
          <w:b/>
        </w:rPr>
        <w:t xml:space="preserve"> – post-hoc comparisons</w:t>
      </w:r>
    </w:p>
    <w:p w14:paraId="65EBFBEA" w14:textId="027798C6" w:rsidR="0010524C" w:rsidRPr="00323C95" w:rsidRDefault="0010524C" w:rsidP="0010524C">
      <w:pPr>
        <w:pStyle w:val="1"/>
        <w:tabs>
          <w:tab w:val="left" w:pos="720"/>
        </w:tabs>
        <w:ind w:leftChars="0" w:left="0"/>
        <w:jc w:val="left"/>
        <w:rPr>
          <w:rFonts w:ascii="Times New Roman" w:hAnsi="Times New Roman" w:cs="Times New Roman"/>
          <w:sz w:val="22"/>
        </w:rPr>
      </w:pPr>
      <w:r>
        <w:rPr>
          <w:rFonts w:ascii="Times New Roman" w:hAnsi="Times New Roman" w:cs="Times New Roman"/>
          <w:sz w:val="22"/>
        </w:rPr>
        <w:t>T</w:t>
      </w:r>
      <w:r w:rsidRPr="00323C95">
        <w:rPr>
          <w:rFonts w:ascii="Times New Roman" w:hAnsi="Times New Roman" w:cs="Times New Roman"/>
          <w:sz w:val="22"/>
        </w:rPr>
        <w:t xml:space="preserve">o investigate whether the effect of outgroup threat priming on cooperative behavior differed by gender, we performed 2 (threat condition) × 5 (knowledge) ANOVAs separately by gender. In both gender groups, significant main effects of knowledge (Female: </w:t>
      </w:r>
      <w:r w:rsidRPr="00323C95">
        <w:rPr>
          <w:rFonts w:ascii="Times New Roman" w:hAnsi="Times New Roman" w:cs="Times New Roman"/>
          <w:i/>
          <w:sz w:val="22"/>
        </w:rPr>
        <w:t>F</w:t>
      </w:r>
      <w:r w:rsidRPr="00323C95">
        <w:rPr>
          <w:rFonts w:ascii="Times New Roman" w:hAnsi="Times New Roman" w:cs="Times New Roman"/>
          <w:sz w:val="22"/>
        </w:rPr>
        <w:t xml:space="preserve">s(4, 332) = 16.82, </w:t>
      </w:r>
      <w:r w:rsidRPr="00323C95">
        <w:rPr>
          <w:rFonts w:ascii="Times New Roman" w:hAnsi="Times New Roman" w:cs="Times New Roman"/>
          <w:i/>
          <w:sz w:val="22"/>
        </w:rPr>
        <w:t xml:space="preserve">p </w:t>
      </w:r>
      <w:r w:rsidRPr="00323C95">
        <w:rPr>
          <w:rFonts w:ascii="Times New Roman" w:hAnsi="Times New Roman" w:cs="Times New Roman"/>
          <w:sz w:val="22"/>
        </w:rPr>
        <w:t xml:space="preserve">&lt; .01, </w:t>
      </w:r>
      <w:r w:rsidRPr="00323C95">
        <w:rPr>
          <w:rFonts w:ascii="Times New Roman" w:hAnsi="Times New Roman" w:cs="Times New Roman"/>
          <w:i/>
          <w:sz w:val="22"/>
        </w:rPr>
        <w:t>η</w:t>
      </w:r>
      <w:r w:rsidRPr="00323C95">
        <w:rPr>
          <w:rFonts w:ascii="Times New Roman" w:hAnsi="Times New Roman" w:cs="Times New Roman"/>
          <w:sz w:val="22"/>
          <w:vertAlign w:val="superscript"/>
        </w:rPr>
        <w:t>2</w:t>
      </w:r>
      <w:r w:rsidRPr="00323C95">
        <w:rPr>
          <w:rFonts w:ascii="Times New Roman" w:hAnsi="Times New Roman" w:cs="Times New Roman"/>
          <w:sz w:val="22"/>
          <w:vertAlign w:val="subscript"/>
        </w:rPr>
        <w:t>e</w:t>
      </w:r>
      <w:r w:rsidRPr="00323C95">
        <w:rPr>
          <w:rFonts w:ascii="Times New Roman" w:hAnsi="Times New Roman" w:cs="Times New Roman"/>
          <w:sz w:val="22"/>
        </w:rPr>
        <w:t xml:space="preserve">= .17, Male: </w:t>
      </w:r>
      <w:r w:rsidRPr="00323C95">
        <w:rPr>
          <w:rFonts w:ascii="Times New Roman" w:hAnsi="Times New Roman" w:cs="Times New Roman"/>
          <w:i/>
          <w:sz w:val="22"/>
        </w:rPr>
        <w:t>F</w:t>
      </w:r>
      <w:r w:rsidRPr="00323C95">
        <w:rPr>
          <w:rFonts w:ascii="Times New Roman" w:hAnsi="Times New Roman" w:cs="Times New Roman"/>
          <w:sz w:val="22"/>
        </w:rPr>
        <w:t xml:space="preserve">(4, 288) = 7.67, </w:t>
      </w:r>
      <w:r w:rsidRPr="00323C95">
        <w:rPr>
          <w:rFonts w:ascii="Times New Roman" w:hAnsi="Times New Roman" w:cs="Times New Roman"/>
          <w:i/>
          <w:sz w:val="22"/>
        </w:rPr>
        <w:t xml:space="preserve">p </w:t>
      </w:r>
      <w:r w:rsidRPr="00323C95">
        <w:rPr>
          <w:rFonts w:ascii="Times New Roman" w:hAnsi="Times New Roman" w:cs="Times New Roman"/>
          <w:sz w:val="22"/>
        </w:rPr>
        <w:t xml:space="preserve">&lt; .01, </w:t>
      </w:r>
      <w:r w:rsidRPr="00323C95">
        <w:rPr>
          <w:rFonts w:ascii="Times New Roman" w:hAnsi="Times New Roman" w:cs="Times New Roman"/>
          <w:i/>
          <w:sz w:val="22"/>
        </w:rPr>
        <w:t>η</w:t>
      </w:r>
      <w:r w:rsidRPr="00323C95">
        <w:rPr>
          <w:rFonts w:ascii="Times New Roman" w:hAnsi="Times New Roman" w:cs="Times New Roman"/>
          <w:sz w:val="22"/>
          <w:vertAlign w:val="superscript"/>
        </w:rPr>
        <w:t>2</w:t>
      </w:r>
      <w:r w:rsidRPr="00323C95">
        <w:rPr>
          <w:rFonts w:ascii="Times New Roman" w:hAnsi="Times New Roman" w:cs="Times New Roman"/>
          <w:sz w:val="22"/>
          <w:vertAlign w:val="subscript"/>
        </w:rPr>
        <w:t xml:space="preserve">e </w:t>
      </w:r>
      <w:r w:rsidRPr="00323C95">
        <w:rPr>
          <w:rFonts w:ascii="Times New Roman" w:hAnsi="Times New Roman" w:cs="Times New Roman"/>
          <w:sz w:val="22"/>
        </w:rPr>
        <w:t>= .10) were found. However, there was no significant main effect of threat condition (</w:t>
      </w:r>
      <w:r w:rsidRPr="00323C95">
        <w:rPr>
          <w:rFonts w:ascii="Times New Roman" w:hAnsi="Times New Roman" w:cs="Times New Roman"/>
          <w:i/>
          <w:sz w:val="22"/>
        </w:rPr>
        <w:t>Fs</w:t>
      </w:r>
      <w:r w:rsidRPr="00323C95">
        <w:rPr>
          <w:rFonts w:ascii="Times New Roman" w:hAnsi="Times New Roman" w:cs="Times New Roman"/>
          <w:sz w:val="22"/>
        </w:rPr>
        <w:t xml:space="preserve"> (1, 83</w:t>
      </w:r>
      <w:r w:rsidRPr="00323C95">
        <w:rPr>
          <w:rFonts w:ascii="Times New Roman" w:hAnsi="Times New Roman" w:cs="Times New Roman"/>
          <w:sz w:val="22"/>
          <w:vertAlign w:val="subscript"/>
        </w:rPr>
        <w:t>female</w:t>
      </w:r>
      <w:r w:rsidRPr="00323C95">
        <w:rPr>
          <w:rFonts w:ascii="Times New Roman" w:hAnsi="Times New Roman" w:cs="Times New Roman"/>
          <w:sz w:val="22"/>
        </w:rPr>
        <w:t>/72</w:t>
      </w:r>
      <w:r w:rsidRPr="00323C95">
        <w:rPr>
          <w:rFonts w:ascii="Times New Roman" w:hAnsi="Times New Roman" w:cs="Times New Roman"/>
          <w:sz w:val="22"/>
          <w:vertAlign w:val="subscript"/>
        </w:rPr>
        <w:t>male</w:t>
      </w:r>
      <w:r w:rsidRPr="00323C95">
        <w:rPr>
          <w:rFonts w:ascii="Times New Roman" w:hAnsi="Times New Roman" w:cs="Times New Roman"/>
          <w:sz w:val="22"/>
        </w:rPr>
        <w:t xml:space="preserve">) &lt; 0.37, </w:t>
      </w:r>
      <w:r w:rsidRPr="00323C95">
        <w:rPr>
          <w:rFonts w:ascii="Times New Roman" w:hAnsi="Times New Roman" w:cs="Times New Roman"/>
          <w:i/>
          <w:sz w:val="22"/>
        </w:rPr>
        <w:t xml:space="preserve">ps </w:t>
      </w:r>
      <w:r w:rsidRPr="00323C95">
        <w:rPr>
          <w:rFonts w:ascii="Times New Roman" w:hAnsi="Times New Roman" w:cs="Times New Roman"/>
          <w:sz w:val="22"/>
        </w:rPr>
        <w:t xml:space="preserve">&gt; .54, </w:t>
      </w:r>
      <w:r w:rsidRPr="00323C95">
        <w:rPr>
          <w:rFonts w:ascii="Times New Roman" w:hAnsi="Times New Roman" w:cs="Times New Roman"/>
          <w:i/>
          <w:sz w:val="22"/>
        </w:rPr>
        <w:t>η</w:t>
      </w:r>
      <w:r w:rsidRPr="00323C95">
        <w:rPr>
          <w:rFonts w:ascii="Times New Roman" w:hAnsi="Times New Roman" w:cs="Times New Roman"/>
          <w:sz w:val="22"/>
          <w:vertAlign w:val="superscript"/>
        </w:rPr>
        <w:t>2</w:t>
      </w:r>
      <w:r w:rsidRPr="00323C95">
        <w:rPr>
          <w:rFonts w:ascii="Times New Roman" w:hAnsi="Times New Roman" w:cs="Times New Roman"/>
          <w:sz w:val="22"/>
          <w:vertAlign w:val="subscript"/>
        </w:rPr>
        <w:t>e</w:t>
      </w:r>
      <w:r w:rsidRPr="00323C95">
        <w:rPr>
          <w:rFonts w:ascii="Times New Roman" w:hAnsi="Times New Roman" w:cs="Times New Roman"/>
          <w:i/>
          <w:sz w:val="22"/>
        </w:rPr>
        <w:t xml:space="preserve">s </w:t>
      </w:r>
      <w:r w:rsidRPr="00323C95">
        <w:rPr>
          <w:rFonts w:ascii="Times New Roman" w:hAnsi="Times New Roman" w:cs="Times New Roman"/>
          <w:sz w:val="22"/>
        </w:rPr>
        <w:t>&lt; .01) or any interaction effects (</w:t>
      </w:r>
      <w:r w:rsidRPr="00323C95">
        <w:rPr>
          <w:rFonts w:ascii="Times New Roman" w:hAnsi="Times New Roman" w:cs="Times New Roman"/>
          <w:i/>
          <w:sz w:val="22"/>
        </w:rPr>
        <w:t>Fs</w:t>
      </w:r>
      <w:r w:rsidRPr="00323C95">
        <w:rPr>
          <w:rFonts w:ascii="Times New Roman" w:hAnsi="Times New Roman" w:cs="Times New Roman"/>
          <w:sz w:val="22"/>
        </w:rPr>
        <w:t xml:space="preserve"> (4, 332</w:t>
      </w:r>
      <w:r w:rsidRPr="00323C95">
        <w:rPr>
          <w:rFonts w:ascii="Times New Roman" w:hAnsi="Times New Roman" w:cs="Times New Roman"/>
          <w:sz w:val="22"/>
          <w:vertAlign w:val="subscript"/>
        </w:rPr>
        <w:t>female</w:t>
      </w:r>
      <w:r w:rsidRPr="00323C95">
        <w:rPr>
          <w:rFonts w:ascii="Times New Roman" w:hAnsi="Times New Roman" w:cs="Times New Roman"/>
          <w:sz w:val="22"/>
        </w:rPr>
        <w:t>/288</w:t>
      </w:r>
      <w:r w:rsidRPr="00323C95">
        <w:rPr>
          <w:rFonts w:ascii="Times New Roman" w:hAnsi="Times New Roman" w:cs="Times New Roman"/>
          <w:sz w:val="22"/>
          <w:vertAlign w:val="subscript"/>
        </w:rPr>
        <w:t>male</w:t>
      </w:r>
      <w:r w:rsidRPr="00323C95">
        <w:rPr>
          <w:rFonts w:ascii="Times New Roman" w:hAnsi="Times New Roman" w:cs="Times New Roman"/>
          <w:sz w:val="22"/>
        </w:rPr>
        <w:t xml:space="preserve">) &lt; 1.39, </w:t>
      </w:r>
      <w:r w:rsidRPr="00323C95">
        <w:rPr>
          <w:rFonts w:ascii="Times New Roman" w:hAnsi="Times New Roman" w:cs="Times New Roman"/>
          <w:i/>
          <w:sz w:val="22"/>
        </w:rPr>
        <w:t xml:space="preserve">ps </w:t>
      </w:r>
      <w:r w:rsidRPr="00323C95">
        <w:rPr>
          <w:rFonts w:ascii="Times New Roman" w:hAnsi="Times New Roman" w:cs="Times New Roman"/>
          <w:sz w:val="22"/>
        </w:rPr>
        <w:t xml:space="preserve">&gt; .25, </w:t>
      </w:r>
      <w:r w:rsidRPr="00323C95">
        <w:rPr>
          <w:rFonts w:ascii="Times New Roman" w:hAnsi="Times New Roman" w:cs="Times New Roman"/>
          <w:i/>
          <w:sz w:val="22"/>
        </w:rPr>
        <w:t>η</w:t>
      </w:r>
      <w:r w:rsidRPr="00323C95">
        <w:rPr>
          <w:rFonts w:ascii="Times New Roman" w:hAnsi="Times New Roman" w:cs="Times New Roman"/>
          <w:sz w:val="22"/>
          <w:vertAlign w:val="superscript"/>
        </w:rPr>
        <w:t>2</w:t>
      </w:r>
      <w:r w:rsidRPr="00323C95">
        <w:rPr>
          <w:rFonts w:ascii="Times New Roman" w:hAnsi="Times New Roman" w:cs="Times New Roman"/>
          <w:sz w:val="22"/>
          <w:vertAlign w:val="subscript"/>
        </w:rPr>
        <w:t>e</w:t>
      </w:r>
      <w:r w:rsidRPr="00323C95">
        <w:rPr>
          <w:rFonts w:ascii="Times New Roman" w:hAnsi="Times New Roman" w:cs="Times New Roman"/>
          <w:i/>
          <w:sz w:val="22"/>
        </w:rPr>
        <w:t xml:space="preserve">s </w:t>
      </w:r>
      <w:r w:rsidRPr="00323C95">
        <w:rPr>
          <w:rFonts w:ascii="Times New Roman" w:hAnsi="Times New Roman" w:cs="Times New Roman"/>
          <w:sz w:val="22"/>
        </w:rPr>
        <w:t xml:space="preserve">&lt; .02). </w:t>
      </w:r>
    </w:p>
    <w:p w14:paraId="292C3DD0" w14:textId="77777777" w:rsidR="0010524C" w:rsidRPr="00323C95" w:rsidRDefault="0010524C" w:rsidP="0010524C">
      <w:pPr>
        <w:pStyle w:val="1"/>
        <w:tabs>
          <w:tab w:val="left" w:pos="720"/>
        </w:tabs>
        <w:ind w:leftChars="0" w:left="0"/>
        <w:jc w:val="left"/>
        <w:rPr>
          <w:rFonts w:ascii="Times New Roman" w:hAnsi="Times New Roman" w:cs="Times New Roman"/>
          <w:sz w:val="22"/>
        </w:rPr>
      </w:pPr>
      <w:r w:rsidRPr="00323C95">
        <w:rPr>
          <w:rFonts w:ascii="Times New Roman" w:hAnsi="Times New Roman" w:cs="Times New Roman"/>
          <w:sz w:val="22"/>
        </w:rPr>
        <w:t xml:space="preserve">To examine the differences within the pattern of cooperation behavior in each of the five knowledge conditions by outgroup threat condition and gender, one-way ANOVAs were performed within each condition (control vs. threat) and gender (women or men) respectively. Among women, there were significant effects of group knowledge (Control: </w:t>
      </w:r>
      <w:r w:rsidRPr="00323C95">
        <w:rPr>
          <w:rFonts w:ascii="Times New Roman" w:hAnsi="Times New Roman" w:cs="Times New Roman"/>
          <w:i/>
          <w:sz w:val="22"/>
        </w:rPr>
        <w:t>F</w:t>
      </w:r>
      <w:r w:rsidRPr="00323C95">
        <w:rPr>
          <w:rFonts w:ascii="Times New Roman" w:hAnsi="Times New Roman" w:cs="Times New Roman"/>
          <w:sz w:val="22"/>
        </w:rPr>
        <w:t>s(4, 164</w:t>
      </w:r>
      <w:r w:rsidRPr="00323C95">
        <w:rPr>
          <w:rFonts w:ascii="Times New Roman" w:hAnsi="Times New Roman" w:cs="Times New Roman"/>
          <w:sz w:val="22"/>
          <w:vertAlign w:val="subscript"/>
        </w:rPr>
        <w:t>control</w:t>
      </w:r>
      <w:r w:rsidRPr="00323C95">
        <w:rPr>
          <w:rFonts w:ascii="Times New Roman" w:hAnsi="Times New Roman" w:cs="Times New Roman"/>
          <w:sz w:val="22"/>
        </w:rPr>
        <w:t xml:space="preserve"> / 168</w:t>
      </w:r>
      <w:r w:rsidRPr="00323C95">
        <w:rPr>
          <w:rFonts w:ascii="Times New Roman" w:hAnsi="Times New Roman" w:cs="Times New Roman"/>
          <w:sz w:val="22"/>
          <w:vertAlign w:val="subscript"/>
        </w:rPr>
        <w:t>threat</w:t>
      </w:r>
      <w:r w:rsidRPr="00323C95">
        <w:rPr>
          <w:rFonts w:ascii="Times New Roman" w:hAnsi="Times New Roman" w:cs="Times New Roman"/>
          <w:sz w:val="22"/>
        </w:rPr>
        <w:t xml:space="preserve">) &gt; 8.81, </w:t>
      </w:r>
      <w:r w:rsidRPr="00323C95">
        <w:rPr>
          <w:rFonts w:ascii="Times New Roman" w:hAnsi="Times New Roman" w:cs="Times New Roman"/>
          <w:i/>
          <w:sz w:val="22"/>
        </w:rPr>
        <w:t>p</w:t>
      </w:r>
      <w:r w:rsidRPr="00323C95">
        <w:rPr>
          <w:rFonts w:ascii="Times New Roman" w:hAnsi="Times New Roman" w:cs="Times New Roman"/>
          <w:sz w:val="22"/>
        </w:rPr>
        <w:t xml:space="preserve">s &lt; .01, </w:t>
      </w:r>
      <w:r w:rsidRPr="00323C95">
        <w:rPr>
          <w:rFonts w:ascii="Times New Roman" w:hAnsi="Times New Roman" w:cs="Times New Roman"/>
          <w:i/>
          <w:sz w:val="22"/>
        </w:rPr>
        <w:t>η</w:t>
      </w:r>
      <w:r w:rsidRPr="00323C95">
        <w:rPr>
          <w:rFonts w:ascii="Times New Roman" w:hAnsi="Times New Roman" w:cs="Times New Roman"/>
          <w:sz w:val="22"/>
          <w:vertAlign w:val="superscript"/>
        </w:rPr>
        <w:t>2</w:t>
      </w:r>
      <w:r w:rsidRPr="00323C95">
        <w:rPr>
          <w:rFonts w:ascii="Times New Roman" w:hAnsi="Times New Roman" w:cs="Times New Roman"/>
          <w:sz w:val="22"/>
          <w:vertAlign w:val="subscript"/>
        </w:rPr>
        <w:t xml:space="preserve">e </w:t>
      </w:r>
      <w:r w:rsidRPr="00323C95">
        <w:rPr>
          <w:rFonts w:ascii="Times New Roman" w:hAnsi="Times New Roman" w:cs="Times New Roman"/>
          <w:sz w:val="22"/>
        </w:rPr>
        <w:t xml:space="preserve">&gt; .17). A post-hoc comparison using Holm’s test revealed that rewards in the ingroup-bilateral condition significantly exceeded rewards of the other four </w:t>
      </w:r>
      <w:r w:rsidRPr="00323C95">
        <w:rPr>
          <w:rFonts w:ascii="Times New Roman" w:hAnsi="Times New Roman" w:cs="Times New Roman"/>
          <w:sz w:val="22"/>
        </w:rPr>
        <w:lastRenderedPageBreak/>
        <w:t>conditions (</w:t>
      </w:r>
      <w:r w:rsidRPr="00323C95">
        <w:rPr>
          <w:rFonts w:ascii="Times New Roman" w:hAnsi="Times New Roman" w:cs="Times New Roman"/>
          <w:i/>
          <w:sz w:val="22"/>
        </w:rPr>
        <w:t>t</w:t>
      </w:r>
      <w:r w:rsidRPr="00323C95">
        <w:rPr>
          <w:rFonts w:ascii="Times New Roman" w:hAnsi="Times New Roman" w:cs="Times New Roman"/>
          <w:sz w:val="22"/>
        </w:rPr>
        <w:t>s(42</w:t>
      </w:r>
      <w:r w:rsidRPr="00323C95">
        <w:rPr>
          <w:rFonts w:ascii="Times New Roman" w:hAnsi="Times New Roman" w:cs="Times New Roman"/>
          <w:sz w:val="22"/>
          <w:vertAlign w:val="subscript"/>
        </w:rPr>
        <w:t>control</w:t>
      </w:r>
      <w:r w:rsidRPr="00323C95">
        <w:rPr>
          <w:rFonts w:ascii="Times New Roman" w:hAnsi="Times New Roman" w:cs="Times New Roman"/>
          <w:sz w:val="22"/>
        </w:rPr>
        <w:t>, 43</w:t>
      </w:r>
      <w:r w:rsidRPr="00323C95">
        <w:rPr>
          <w:rFonts w:ascii="Times New Roman" w:hAnsi="Times New Roman" w:cs="Times New Roman"/>
          <w:sz w:val="22"/>
          <w:vertAlign w:val="subscript"/>
        </w:rPr>
        <w:t>threat</w:t>
      </w:r>
      <w:r w:rsidRPr="00323C95">
        <w:rPr>
          <w:rFonts w:ascii="Times New Roman" w:hAnsi="Times New Roman" w:cs="Times New Roman"/>
          <w:sz w:val="22"/>
        </w:rPr>
        <w:t xml:space="preserve">) &gt; 3.09, </w:t>
      </w:r>
      <w:r w:rsidRPr="00323C95">
        <w:rPr>
          <w:rFonts w:ascii="Times New Roman" w:hAnsi="Times New Roman" w:cs="Times New Roman"/>
          <w:i/>
          <w:sz w:val="22"/>
        </w:rPr>
        <w:t>p</w:t>
      </w:r>
      <w:r w:rsidRPr="00323C95">
        <w:rPr>
          <w:rFonts w:ascii="Times New Roman" w:hAnsi="Times New Roman" w:cs="Times New Roman"/>
          <w:sz w:val="22"/>
        </w:rPr>
        <w:t xml:space="preserve">s &lt; .02, </w:t>
      </w:r>
      <w:r w:rsidRPr="00323C95">
        <w:rPr>
          <w:rFonts w:ascii="Times New Roman" w:hAnsi="Times New Roman" w:cs="Times New Roman"/>
          <w:i/>
          <w:sz w:val="22"/>
        </w:rPr>
        <w:t>d</w:t>
      </w:r>
      <w:r w:rsidRPr="00323C95">
        <w:rPr>
          <w:rFonts w:ascii="Times New Roman" w:hAnsi="Times New Roman" w:cs="Times New Roman"/>
          <w:sz w:val="22"/>
        </w:rPr>
        <w:t>s &gt; .39) in both control and threat conditions. As expected, these results showed that women favored the ingroup based on reciprocity regardless of the cued outgroup threat. On the other hand, among men, a significant difference was found only in the control condition (</w:t>
      </w:r>
      <w:r w:rsidRPr="00323C95">
        <w:rPr>
          <w:rFonts w:ascii="Times New Roman" w:hAnsi="Times New Roman" w:cs="Times New Roman"/>
          <w:i/>
          <w:sz w:val="22"/>
        </w:rPr>
        <w:t>F</w:t>
      </w:r>
      <w:r w:rsidRPr="00323C95">
        <w:rPr>
          <w:rFonts w:ascii="Times New Roman" w:hAnsi="Times New Roman" w:cs="Times New Roman"/>
          <w:sz w:val="22"/>
        </w:rPr>
        <w:t xml:space="preserve">(4, 144) = 6.10, </w:t>
      </w:r>
      <w:r w:rsidRPr="00323C95">
        <w:rPr>
          <w:rFonts w:ascii="Times New Roman" w:hAnsi="Times New Roman" w:cs="Times New Roman"/>
          <w:i/>
          <w:sz w:val="22"/>
        </w:rPr>
        <w:t xml:space="preserve">p </w:t>
      </w:r>
      <w:r w:rsidRPr="00323C95">
        <w:rPr>
          <w:rFonts w:ascii="Times New Roman" w:hAnsi="Times New Roman" w:cs="Times New Roman"/>
          <w:sz w:val="22"/>
        </w:rPr>
        <w:t xml:space="preserve">&lt; .01, </w:t>
      </w:r>
      <w:r w:rsidRPr="00323C95">
        <w:rPr>
          <w:rFonts w:ascii="Times New Roman" w:hAnsi="Times New Roman" w:cs="Times New Roman"/>
          <w:i/>
          <w:sz w:val="22"/>
        </w:rPr>
        <w:t>η</w:t>
      </w:r>
      <w:r w:rsidRPr="00323C95">
        <w:rPr>
          <w:rFonts w:ascii="Times New Roman" w:hAnsi="Times New Roman" w:cs="Times New Roman"/>
          <w:sz w:val="22"/>
          <w:vertAlign w:val="superscript"/>
        </w:rPr>
        <w:t>2</w:t>
      </w:r>
      <w:r w:rsidRPr="00323C95">
        <w:rPr>
          <w:rFonts w:ascii="Times New Roman" w:hAnsi="Times New Roman" w:cs="Times New Roman"/>
          <w:sz w:val="22"/>
          <w:vertAlign w:val="subscript"/>
        </w:rPr>
        <w:t>e</w:t>
      </w:r>
      <w:r w:rsidRPr="00323C95">
        <w:rPr>
          <w:rFonts w:ascii="Times New Roman" w:hAnsi="Times New Roman" w:cs="Times New Roman"/>
          <w:sz w:val="22"/>
        </w:rPr>
        <w:t xml:space="preserve"> = .15). Post-hoc comparisons showed that rewards in the ingroup-bilateral condition were above the unknown and outgroup-bilateral condition (</w:t>
      </w:r>
      <w:r w:rsidRPr="00323C95">
        <w:rPr>
          <w:rFonts w:ascii="Times New Roman" w:hAnsi="Times New Roman" w:cs="Times New Roman"/>
          <w:i/>
          <w:sz w:val="22"/>
        </w:rPr>
        <w:t>t</w:t>
      </w:r>
      <w:r w:rsidRPr="00323C95">
        <w:rPr>
          <w:rFonts w:ascii="Times New Roman" w:hAnsi="Times New Roman" w:cs="Times New Roman"/>
          <w:sz w:val="22"/>
        </w:rPr>
        <w:t>s(36) &gt;</w:t>
      </w:r>
      <w:r>
        <w:rPr>
          <w:rFonts w:ascii="Times New Roman" w:hAnsi="Times New Roman" w:cs="Times New Roman"/>
          <w:sz w:val="22"/>
        </w:rPr>
        <w:t xml:space="preserve"> </w:t>
      </w:r>
      <w:r w:rsidRPr="00323C95">
        <w:rPr>
          <w:rFonts w:ascii="Times New Roman" w:hAnsi="Times New Roman" w:cs="Times New Roman"/>
          <w:sz w:val="22"/>
        </w:rPr>
        <w:t xml:space="preserve">3.20, </w:t>
      </w:r>
      <w:r w:rsidRPr="00323C95">
        <w:rPr>
          <w:rFonts w:ascii="Times New Roman" w:hAnsi="Times New Roman" w:cs="Times New Roman"/>
          <w:i/>
          <w:sz w:val="22"/>
        </w:rPr>
        <w:t>p</w:t>
      </w:r>
      <w:r w:rsidRPr="00323C95">
        <w:rPr>
          <w:rFonts w:ascii="Times New Roman" w:hAnsi="Times New Roman" w:cs="Times New Roman"/>
          <w:sz w:val="22"/>
        </w:rPr>
        <w:t xml:space="preserve">s &lt; .03, </w:t>
      </w:r>
      <w:r w:rsidRPr="00323C95">
        <w:rPr>
          <w:rFonts w:ascii="Times New Roman" w:hAnsi="Times New Roman" w:cs="Times New Roman"/>
          <w:i/>
          <w:sz w:val="22"/>
        </w:rPr>
        <w:t>d</w:t>
      </w:r>
      <w:r w:rsidRPr="00323C95">
        <w:rPr>
          <w:rFonts w:ascii="Times New Roman" w:hAnsi="Times New Roman" w:cs="Times New Roman"/>
          <w:sz w:val="22"/>
        </w:rPr>
        <w:t>s &gt; .48). The rewards in the outgroup-unilateral condition did not significantly exceed the ones in the ingroup-bilateral condition (</w:t>
      </w:r>
      <w:r w:rsidRPr="00323C95">
        <w:rPr>
          <w:rFonts w:ascii="Times New Roman" w:hAnsi="Times New Roman" w:cs="Times New Roman"/>
          <w:i/>
          <w:sz w:val="22"/>
        </w:rPr>
        <w:t>t</w:t>
      </w:r>
      <w:r w:rsidRPr="00323C95">
        <w:rPr>
          <w:rFonts w:ascii="Times New Roman" w:hAnsi="Times New Roman" w:cs="Times New Roman"/>
          <w:sz w:val="22"/>
        </w:rPr>
        <w:t xml:space="preserve">(36) = 2.72, </w:t>
      </w:r>
      <w:r w:rsidRPr="00323C95">
        <w:rPr>
          <w:rFonts w:ascii="Times New Roman" w:hAnsi="Times New Roman" w:cs="Times New Roman"/>
          <w:i/>
          <w:sz w:val="22"/>
        </w:rPr>
        <w:t>p</w:t>
      </w:r>
      <w:r w:rsidRPr="00323C95">
        <w:rPr>
          <w:rFonts w:ascii="Times New Roman" w:hAnsi="Times New Roman" w:cs="Times New Roman"/>
          <w:sz w:val="22"/>
        </w:rPr>
        <w:t xml:space="preserve"> = .08, </w:t>
      </w:r>
      <w:r w:rsidRPr="00323C95">
        <w:rPr>
          <w:rFonts w:ascii="Times New Roman" w:hAnsi="Times New Roman" w:cs="Times New Roman"/>
          <w:i/>
          <w:sz w:val="22"/>
        </w:rPr>
        <w:t>d</w:t>
      </w:r>
      <w:r w:rsidRPr="00323C95">
        <w:rPr>
          <w:rFonts w:ascii="Times New Roman" w:hAnsi="Times New Roman" w:cs="Times New Roman"/>
          <w:sz w:val="22"/>
        </w:rPr>
        <w:t xml:space="preserve"> = .47), but the effect sizes were almost equal when examining the ingroup-unilateral condition and the outgroup-bilateral condition. As expected, the rewards in the ingroup-bilateral condition were higher than the other conditions. However, in the threat condition, contrary to our predictions, there was no significant difference (</w:t>
      </w:r>
      <w:r w:rsidRPr="00323C95">
        <w:rPr>
          <w:rFonts w:ascii="Times New Roman" w:hAnsi="Times New Roman" w:cs="Times New Roman"/>
          <w:i/>
          <w:sz w:val="22"/>
        </w:rPr>
        <w:t>F</w:t>
      </w:r>
      <w:r w:rsidRPr="00323C95">
        <w:rPr>
          <w:rFonts w:ascii="Times New Roman" w:hAnsi="Times New Roman" w:cs="Times New Roman"/>
          <w:sz w:val="22"/>
        </w:rPr>
        <w:t xml:space="preserve">(4, 144) = 2.18, </w:t>
      </w:r>
      <w:r w:rsidRPr="00323C95">
        <w:rPr>
          <w:rFonts w:ascii="Times New Roman" w:hAnsi="Times New Roman" w:cs="Times New Roman"/>
          <w:i/>
          <w:sz w:val="22"/>
        </w:rPr>
        <w:t xml:space="preserve">p </w:t>
      </w:r>
      <w:r w:rsidRPr="00323C95">
        <w:rPr>
          <w:rFonts w:ascii="Times New Roman" w:hAnsi="Times New Roman" w:cs="Times New Roman"/>
          <w:sz w:val="22"/>
        </w:rPr>
        <w:t xml:space="preserve">= .11, </w:t>
      </w:r>
      <w:r w:rsidRPr="00323C95">
        <w:rPr>
          <w:rFonts w:ascii="Times New Roman" w:hAnsi="Times New Roman" w:cs="Times New Roman"/>
          <w:i/>
          <w:sz w:val="22"/>
        </w:rPr>
        <w:t>η</w:t>
      </w:r>
      <w:r w:rsidRPr="00323C95">
        <w:rPr>
          <w:rFonts w:ascii="Times New Roman" w:hAnsi="Times New Roman" w:cs="Times New Roman"/>
          <w:sz w:val="22"/>
          <w:vertAlign w:val="superscript"/>
        </w:rPr>
        <w:t>2</w:t>
      </w:r>
      <w:r w:rsidRPr="00323C95">
        <w:rPr>
          <w:rFonts w:ascii="Times New Roman" w:hAnsi="Times New Roman" w:cs="Times New Roman"/>
          <w:sz w:val="22"/>
          <w:vertAlign w:val="subscript"/>
        </w:rPr>
        <w:t>e</w:t>
      </w:r>
      <w:r w:rsidRPr="00323C95">
        <w:rPr>
          <w:rFonts w:ascii="Times New Roman" w:hAnsi="Times New Roman" w:cs="Times New Roman"/>
          <w:sz w:val="22"/>
        </w:rPr>
        <w:t xml:space="preserve"> = .06). In other words, the results showed that male participants did not show any bias after being presented with the cued outgroup threat.</w:t>
      </w:r>
    </w:p>
    <w:p w14:paraId="0FDB4970" w14:textId="3D1B168B" w:rsidR="0010524C" w:rsidRDefault="0010524C" w:rsidP="0010524C"/>
    <w:p w14:paraId="0FE99905" w14:textId="77777777" w:rsidR="00831C92" w:rsidRPr="0010524C" w:rsidRDefault="00831C92" w:rsidP="0010524C"/>
    <w:sectPr w:rsidR="00831C92" w:rsidRPr="001052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1783" w14:textId="77777777" w:rsidR="00F30DFC" w:rsidRDefault="00F30DFC" w:rsidP="00ED0C4B">
      <w:r>
        <w:separator/>
      </w:r>
    </w:p>
  </w:endnote>
  <w:endnote w:type="continuationSeparator" w:id="0">
    <w:p w14:paraId="785EEBC3" w14:textId="77777777" w:rsidR="00F30DFC" w:rsidRDefault="00F30DFC" w:rsidP="00ED0C4B">
      <w:r>
        <w:continuationSeparator/>
      </w:r>
    </w:p>
  </w:endnote>
  <w:endnote w:type="continuationNotice" w:id="1">
    <w:p w14:paraId="29E6440D" w14:textId="77777777" w:rsidR="00F30DFC" w:rsidRDefault="00F3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C8D6" w14:textId="77777777" w:rsidR="00F30DFC" w:rsidRDefault="00F30DFC" w:rsidP="00ED0C4B">
      <w:r>
        <w:separator/>
      </w:r>
    </w:p>
  </w:footnote>
  <w:footnote w:type="continuationSeparator" w:id="0">
    <w:p w14:paraId="2662A7A5" w14:textId="77777777" w:rsidR="00F30DFC" w:rsidRDefault="00F30DFC" w:rsidP="00ED0C4B">
      <w:r>
        <w:continuationSeparator/>
      </w:r>
    </w:p>
  </w:footnote>
  <w:footnote w:type="continuationNotice" w:id="1">
    <w:p w14:paraId="1C9CF941" w14:textId="77777777" w:rsidR="00F30DFC" w:rsidRDefault="00F30DF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998"/>
    <w:multiLevelType w:val="hybridMultilevel"/>
    <w:tmpl w:val="E04C819E"/>
    <w:lvl w:ilvl="0" w:tplc="1F80E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D2852"/>
    <w:multiLevelType w:val="hybridMultilevel"/>
    <w:tmpl w:val="FA1495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8"/>
    <w:rsid w:val="000009E3"/>
    <w:rsid w:val="000018CF"/>
    <w:rsid w:val="00006B5C"/>
    <w:rsid w:val="000128DF"/>
    <w:rsid w:val="000148E1"/>
    <w:rsid w:val="00015B52"/>
    <w:rsid w:val="00015B89"/>
    <w:rsid w:val="00016C90"/>
    <w:rsid w:val="00043594"/>
    <w:rsid w:val="000468A2"/>
    <w:rsid w:val="00047598"/>
    <w:rsid w:val="000553FE"/>
    <w:rsid w:val="00056E86"/>
    <w:rsid w:val="00060B1E"/>
    <w:rsid w:val="0006235D"/>
    <w:rsid w:val="000637AB"/>
    <w:rsid w:val="00064B19"/>
    <w:rsid w:val="0006663E"/>
    <w:rsid w:val="0007757F"/>
    <w:rsid w:val="000852ED"/>
    <w:rsid w:val="00085E31"/>
    <w:rsid w:val="000868B3"/>
    <w:rsid w:val="000933F8"/>
    <w:rsid w:val="000A2F41"/>
    <w:rsid w:val="000A417E"/>
    <w:rsid w:val="000B1A86"/>
    <w:rsid w:val="000B2F63"/>
    <w:rsid w:val="000B3099"/>
    <w:rsid w:val="000B45DD"/>
    <w:rsid w:val="000C2DD7"/>
    <w:rsid w:val="000C4203"/>
    <w:rsid w:val="000E290D"/>
    <w:rsid w:val="000E2C41"/>
    <w:rsid w:val="000F1609"/>
    <w:rsid w:val="000F40F0"/>
    <w:rsid w:val="000F50BF"/>
    <w:rsid w:val="000F6B1C"/>
    <w:rsid w:val="001003C3"/>
    <w:rsid w:val="00101710"/>
    <w:rsid w:val="00104C70"/>
    <w:rsid w:val="0010524C"/>
    <w:rsid w:val="00105B9D"/>
    <w:rsid w:val="001127E9"/>
    <w:rsid w:val="0011438C"/>
    <w:rsid w:val="00114887"/>
    <w:rsid w:val="0013623C"/>
    <w:rsid w:val="00140538"/>
    <w:rsid w:val="001440D5"/>
    <w:rsid w:val="00152155"/>
    <w:rsid w:val="00152B75"/>
    <w:rsid w:val="00153CDA"/>
    <w:rsid w:val="00156372"/>
    <w:rsid w:val="0016771A"/>
    <w:rsid w:val="0017432E"/>
    <w:rsid w:val="00176820"/>
    <w:rsid w:val="00176CA2"/>
    <w:rsid w:val="0018374A"/>
    <w:rsid w:val="001847B5"/>
    <w:rsid w:val="00194CCB"/>
    <w:rsid w:val="00194D47"/>
    <w:rsid w:val="00195296"/>
    <w:rsid w:val="00197D80"/>
    <w:rsid w:val="001A0EB0"/>
    <w:rsid w:val="001B07EC"/>
    <w:rsid w:val="001B12C3"/>
    <w:rsid w:val="001C3AEF"/>
    <w:rsid w:val="001D0114"/>
    <w:rsid w:val="001D4CEC"/>
    <w:rsid w:val="001D7D99"/>
    <w:rsid w:val="001E3B9C"/>
    <w:rsid w:val="001F501E"/>
    <w:rsid w:val="001F7591"/>
    <w:rsid w:val="00202BBC"/>
    <w:rsid w:val="002071BF"/>
    <w:rsid w:val="00223A85"/>
    <w:rsid w:val="00230CBE"/>
    <w:rsid w:val="00230D88"/>
    <w:rsid w:val="002330F0"/>
    <w:rsid w:val="00235F1C"/>
    <w:rsid w:val="002366F6"/>
    <w:rsid w:val="002411FF"/>
    <w:rsid w:val="00252F0E"/>
    <w:rsid w:val="00253A56"/>
    <w:rsid w:val="00254D33"/>
    <w:rsid w:val="0026399C"/>
    <w:rsid w:val="002651A5"/>
    <w:rsid w:val="0026536C"/>
    <w:rsid w:val="00267BA9"/>
    <w:rsid w:val="002709DE"/>
    <w:rsid w:val="00280DF9"/>
    <w:rsid w:val="002857DF"/>
    <w:rsid w:val="00291022"/>
    <w:rsid w:val="00295564"/>
    <w:rsid w:val="002977AB"/>
    <w:rsid w:val="002A1EF7"/>
    <w:rsid w:val="002A2ED2"/>
    <w:rsid w:val="002B4B04"/>
    <w:rsid w:val="002D3D3D"/>
    <w:rsid w:val="002D4428"/>
    <w:rsid w:val="002D7715"/>
    <w:rsid w:val="002D775E"/>
    <w:rsid w:val="002D7EF7"/>
    <w:rsid w:val="002E5B06"/>
    <w:rsid w:val="0030244B"/>
    <w:rsid w:val="003120D3"/>
    <w:rsid w:val="00315413"/>
    <w:rsid w:val="00320DA0"/>
    <w:rsid w:val="00321DB7"/>
    <w:rsid w:val="00323C95"/>
    <w:rsid w:val="00323F66"/>
    <w:rsid w:val="00334AD5"/>
    <w:rsid w:val="003374E5"/>
    <w:rsid w:val="0034297C"/>
    <w:rsid w:val="0035277C"/>
    <w:rsid w:val="00355688"/>
    <w:rsid w:val="003578E6"/>
    <w:rsid w:val="003656C4"/>
    <w:rsid w:val="00383E43"/>
    <w:rsid w:val="003842B0"/>
    <w:rsid w:val="003B21D7"/>
    <w:rsid w:val="003B76BF"/>
    <w:rsid w:val="003D118B"/>
    <w:rsid w:val="003D142D"/>
    <w:rsid w:val="003E020C"/>
    <w:rsid w:val="003E0410"/>
    <w:rsid w:val="003E1284"/>
    <w:rsid w:val="003E7C15"/>
    <w:rsid w:val="003F2536"/>
    <w:rsid w:val="003F53C8"/>
    <w:rsid w:val="003F77EE"/>
    <w:rsid w:val="004050B1"/>
    <w:rsid w:val="0041514A"/>
    <w:rsid w:val="004204FD"/>
    <w:rsid w:val="00427A10"/>
    <w:rsid w:val="00434DA7"/>
    <w:rsid w:val="004350F3"/>
    <w:rsid w:val="00441FF9"/>
    <w:rsid w:val="00442419"/>
    <w:rsid w:val="00454461"/>
    <w:rsid w:val="0045616E"/>
    <w:rsid w:val="00457B34"/>
    <w:rsid w:val="00457BCF"/>
    <w:rsid w:val="00464AF8"/>
    <w:rsid w:val="00464B2F"/>
    <w:rsid w:val="0046616C"/>
    <w:rsid w:val="00466797"/>
    <w:rsid w:val="00474141"/>
    <w:rsid w:val="004756C1"/>
    <w:rsid w:val="00480FA5"/>
    <w:rsid w:val="004812B7"/>
    <w:rsid w:val="00483AA7"/>
    <w:rsid w:val="00484169"/>
    <w:rsid w:val="00492D69"/>
    <w:rsid w:val="004937FA"/>
    <w:rsid w:val="004948C4"/>
    <w:rsid w:val="004A71A5"/>
    <w:rsid w:val="004B330F"/>
    <w:rsid w:val="004C1887"/>
    <w:rsid w:val="004D114E"/>
    <w:rsid w:val="004D517A"/>
    <w:rsid w:val="004D7113"/>
    <w:rsid w:val="004E49EF"/>
    <w:rsid w:val="004E693C"/>
    <w:rsid w:val="004E696C"/>
    <w:rsid w:val="005109C6"/>
    <w:rsid w:val="00527F64"/>
    <w:rsid w:val="005421FB"/>
    <w:rsid w:val="005438C8"/>
    <w:rsid w:val="0054749B"/>
    <w:rsid w:val="00550B28"/>
    <w:rsid w:val="0056329A"/>
    <w:rsid w:val="0057673E"/>
    <w:rsid w:val="00577F5E"/>
    <w:rsid w:val="00586601"/>
    <w:rsid w:val="00586C88"/>
    <w:rsid w:val="00587AF7"/>
    <w:rsid w:val="00591464"/>
    <w:rsid w:val="00596061"/>
    <w:rsid w:val="005C3B16"/>
    <w:rsid w:val="005C417F"/>
    <w:rsid w:val="005C5D79"/>
    <w:rsid w:val="005C7B3E"/>
    <w:rsid w:val="005E1AD1"/>
    <w:rsid w:val="005E7C57"/>
    <w:rsid w:val="005F0917"/>
    <w:rsid w:val="005F236B"/>
    <w:rsid w:val="005F5F19"/>
    <w:rsid w:val="006061E2"/>
    <w:rsid w:val="00607EF3"/>
    <w:rsid w:val="0061273F"/>
    <w:rsid w:val="006128BD"/>
    <w:rsid w:val="00627857"/>
    <w:rsid w:val="00630738"/>
    <w:rsid w:val="0063614B"/>
    <w:rsid w:val="00637C7E"/>
    <w:rsid w:val="006415E3"/>
    <w:rsid w:val="006432E3"/>
    <w:rsid w:val="006477E2"/>
    <w:rsid w:val="006535E7"/>
    <w:rsid w:val="00664551"/>
    <w:rsid w:val="00665F71"/>
    <w:rsid w:val="00667B12"/>
    <w:rsid w:val="00670AE4"/>
    <w:rsid w:val="006724DD"/>
    <w:rsid w:val="00676B2C"/>
    <w:rsid w:val="00690FE7"/>
    <w:rsid w:val="00696EBF"/>
    <w:rsid w:val="006970EE"/>
    <w:rsid w:val="006B027A"/>
    <w:rsid w:val="006B0EAD"/>
    <w:rsid w:val="006B10F2"/>
    <w:rsid w:val="006B188D"/>
    <w:rsid w:val="006C43BE"/>
    <w:rsid w:val="006C6FB7"/>
    <w:rsid w:val="006C77F7"/>
    <w:rsid w:val="006D28BB"/>
    <w:rsid w:val="006D3AFE"/>
    <w:rsid w:val="006D465E"/>
    <w:rsid w:val="006D511B"/>
    <w:rsid w:val="006D5675"/>
    <w:rsid w:val="006D5996"/>
    <w:rsid w:val="006F2494"/>
    <w:rsid w:val="006F4D9A"/>
    <w:rsid w:val="006F5A64"/>
    <w:rsid w:val="006F7319"/>
    <w:rsid w:val="00706DE3"/>
    <w:rsid w:val="00723C15"/>
    <w:rsid w:val="0073651A"/>
    <w:rsid w:val="007414AD"/>
    <w:rsid w:val="007550AF"/>
    <w:rsid w:val="007615CB"/>
    <w:rsid w:val="00766356"/>
    <w:rsid w:val="00772B97"/>
    <w:rsid w:val="007740D6"/>
    <w:rsid w:val="00780C91"/>
    <w:rsid w:val="00786515"/>
    <w:rsid w:val="0079122E"/>
    <w:rsid w:val="00794E08"/>
    <w:rsid w:val="00795EEF"/>
    <w:rsid w:val="00796557"/>
    <w:rsid w:val="007A5AC5"/>
    <w:rsid w:val="007B1850"/>
    <w:rsid w:val="007B456D"/>
    <w:rsid w:val="007B46C7"/>
    <w:rsid w:val="007B4B66"/>
    <w:rsid w:val="007C7047"/>
    <w:rsid w:val="007D3184"/>
    <w:rsid w:val="007D5139"/>
    <w:rsid w:val="007E3DA6"/>
    <w:rsid w:val="007E5E21"/>
    <w:rsid w:val="007F1C6C"/>
    <w:rsid w:val="007F44DE"/>
    <w:rsid w:val="007F769A"/>
    <w:rsid w:val="007F7DB0"/>
    <w:rsid w:val="008014FE"/>
    <w:rsid w:val="00803EC9"/>
    <w:rsid w:val="00810A60"/>
    <w:rsid w:val="008155A2"/>
    <w:rsid w:val="00831C92"/>
    <w:rsid w:val="00833049"/>
    <w:rsid w:val="0083761D"/>
    <w:rsid w:val="00842342"/>
    <w:rsid w:val="008440A3"/>
    <w:rsid w:val="00864542"/>
    <w:rsid w:val="008812C3"/>
    <w:rsid w:val="00886AB5"/>
    <w:rsid w:val="00895105"/>
    <w:rsid w:val="00896D4A"/>
    <w:rsid w:val="008A2FEB"/>
    <w:rsid w:val="008A5E47"/>
    <w:rsid w:val="008B1572"/>
    <w:rsid w:val="008B4E71"/>
    <w:rsid w:val="008B7AA2"/>
    <w:rsid w:val="008C0BAF"/>
    <w:rsid w:val="008C5E55"/>
    <w:rsid w:val="008C7A06"/>
    <w:rsid w:val="008E01D3"/>
    <w:rsid w:val="008E53B8"/>
    <w:rsid w:val="008F74D7"/>
    <w:rsid w:val="00900315"/>
    <w:rsid w:val="00907DB1"/>
    <w:rsid w:val="00913945"/>
    <w:rsid w:val="009157AA"/>
    <w:rsid w:val="00920237"/>
    <w:rsid w:val="00923563"/>
    <w:rsid w:val="00927161"/>
    <w:rsid w:val="0093052D"/>
    <w:rsid w:val="00944D49"/>
    <w:rsid w:val="00952F18"/>
    <w:rsid w:val="009541D4"/>
    <w:rsid w:val="009577B9"/>
    <w:rsid w:val="009610CF"/>
    <w:rsid w:val="0096573A"/>
    <w:rsid w:val="009760B8"/>
    <w:rsid w:val="00983244"/>
    <w:rsid w:val="009850DA"/>
    <w:rsid w:val="00991B74"/>
    <w:rsid w:val="0099474C"/>
    <w:rsid w:val="009A0B28"/>
    <w:rsid w:val="009A4255"/>
    <w:rsid w:val="009A51E9"/>
    <w:rsid w:val="009B1C18"/>
    <w:rsid w:val="009B1ECE"/>
    <w:rsid w:val="009B2830"/>
    <w:rsid w:val="009B5F63"/>
    <w:rsid w:val="009D1BDD"/>
    <w:rsid w:val="009D21E3"/>
    <w:rsid w:val="009D3B6D"/>
    <w:rsid w:val="009D58FA"/>
    <w:rsid w:val="009E1F0B"/>
    <w:rsid w:val="009F0986"/>
    <w:rsid w:val="009F11BC"/>
    <w:rsid w:val="009F4013"/>
    <w:rsid w:val="009F46C5"/>
    <w:rsid w:val="009F55B0"/>
    <w:rsid w:val="00A003DB"/>
    <w:rsid w:val="00A01690"/>
    <w:rsid w:val="00A07EBB"/>
    <w:rsid w:val="00A10A8F"/>
    <w:rsid w:val="00A13963"/>
    <w:rsid w:val="00A16982"/>
    <w:rsid w:val="00A175BD"/>
    <w:rsid w:val="00A17BE4"/>
    <w:rsid w:val="00A25AB8"/>
    <w:rsid w:val="00A301F3"/>
    <w:rsid w:val="00A3789F"/>
    <w:rsid w:val="00A46003"/>
    <w:rsid w:val="00A512DC"/>
    <w:rsid w:val="00A57597"/>
    <w:rsid w:val="00A678F6"/>
    <w:rsid w:val="00A76778"/>
    <w:rsid w:val="00A77586"/>
    <w:rsid w:val="00A906A5"/>
    <w:rsid w:val="00A93C4E"/>
    <w:rsid w:val="00AA392C"/>
    <w:rsid w:val="00AA4047"/>
    <w:rsid w:val="00AA5C58"/>
    <w:rsid w:val="00AB1BB0"/>
    <w:rsid w:val="00AB47F1"/>
    <w:rsid w:val="00AB5A1E"/>
    <w:rsid w:val="00AC0EA3"/>
    <w:rsid w:val="00AE05B7"/>
    <w:rsid w:val="00AE3D94"/>
    <w:rsid w:val="00AF1F1D"/>
    <w:rsid w:val="00AF5B25"/>
    <w:rsid w:val="00B037FA"/>
    <w:rsid w:val="00B05A38"/>
    <w:rsid w:val="00B062BA"/>
    <w:rsid w:val="00B076C9"/>
    <w:rsid w:val="00B154EA"/>
    <w:rsid w:val="00B34575"/>
    <w:rsid w:val="00B34EE0"/>
    <w:rsid w:val="00B359A7"/>
    <w:rsid w:val="00B43244"/>
    <w:rsid w:val="00B43E11"/>
    <w:rsid w:val="00B629A0"/>
    <w:rsid w:val="00B62B98"/>
    <w:rsid w:val="00B66192"/>
    <w:rsid w:val="00B662B1"/>
    <w:rsid w:val="00B663EB"/>
    <w:rsid w:val="00B72C28"/>
    <w:rsid w:val="00B75134"/>
    <w:rsid w:val="00B81249"/>
    <w:rsid w:val="00B84F22"/>
    <w:rsid w:val="00B866C4"/>
    <w:rsid w:val="00B9684F"/>
    <w:rsid w:val="00B97903"/>
    <w:rsid w:val="00BA03F9"/>
    <w:rsid w:val="00BA7A04"/>
    <w:rsid w:val="00BB130D"/>
    <w:rsid w:val="00BB6528"/>
    <w:rsid w:val="00BC5DC3"/>
    <w:rsid w:val="00BD5ACB"/>
    <w:rsid w:val="00BD5CDC"/>
    <w:rsid w:val="00BE21CD"/>
    <w:rsid w:val="00BE4F1A"/>
    <w:rsid w:val="00BE7221"/>
    <w:rsid w:val="00BF4EE2"/>
    <w:rsid w:val="00BF5654"/>
    <w:rsid w:val="00C02359"/>
    <w:rsid w:val="00C069ED"/>
    <w:rsid w:val="00C130CA"/>
    <w:rsid w:val="00C14A91"/>
    <w:rsid w:val="00C1691E"/>
    <w:rsid w:val="00C23586"/>
    <w:rsid w:val="00C259A3"/>
    <w:rsid w:val="00C33B90"/>
    <w:rsid w:val="00C33F39"/>
    <w:rsid w:val="00C34403"/>
    <w:rsid w:val="00C44884"/>
    <w:rsid w:val="00C47390"/>
    <w:rsid w:val="00C50556"/>
    <w:rsid w:val="00C64358"/>
    <w:rsid w:val="00C654C0"/>
    <w:rsid w:val="00C73CE1"/>
    <w:rsid w:val="00C73F42"/>
    <w:rsid w:val="00C7469C"/>
    <w:rsid w:val="00C80B10"/>
    <w:rsid w:val="00C847C5"/>
    <w:rsid w:val="00C925A7"/>
    <w:rsid w:val="00C93F52"/>
    <w:rsid w:val="00CB4785"/>
    <w:rsid w:val="00CB71FB"/>
    <w:rsid w:val="00CD3E9E"/>
    <w:rsid w:val="00CE0931"/>
    <w:rsid w:val="00CF0FE8"/>
    <w:rsid w:val="00D1563D"/>
    <w:rsid w:val="00D46FBF"/>
    <w:rsid w:val="00D531CD"/>
    <w:rsid w:val="00D60155"/>
    <w:rsid w:val="00D62615"/>
    <w:rsid w:val="00D628EB"/>
    <w:rsid w:val="00D66655"/>
    <w:rsid w:val="00D70B28"/>
    <w:rsid w:val="00D75612"/>
    <w:rsid w:val="00D80038"/>
    <w:rsid w:val="00D93642"/>
    <w:rsid w:val="00D96B0E"/>
    <w:rsid w:val="00D97224"/>
    <w:rsid w:val="00D97EE1"/>
    <w:rsid w:val="00DA6630"/>
    <w:rsid w:val="00DD0B75"/>
    <w:rsid w:val="00DF3E2B"/>
    <w:rsid w:val="00DF6B29"/>
    <w:rsid w:val="00E012F1"/>
    <w:rsid w:val="00E04DE4"/>
    <w:rsid w:val="00E123B1"/>
    <w:rsid w:val="00E12CBD"/>
    <w:rsid w:val="00E16D42"/>
    <w:rsid w:val="00E23109"/>
    <w:rsid w:val="00E24886"/>
    <w:rsid w:val="00E30DF5"/>
    <w:rsid w:val="00E31E16"/>
    <w:rsid w:val="00E439EB"/>
    <w:rsid w:val="00E43AD9"/>
    <w:rsid w:val="00E46CBC"/>
    <w:rsid w:val="00E51C65"/>
    <w:rsid w:val="00E54A09"/>
    <w:rsid w:val="00E555CA"/>
    <w:rsid w:val="00E57319"/>
    <w:rsid w:val="00E5732F"/>
    <w:rsid w:val="00E61A88"/>
    <w:rsid w:val="00E64FC7"/>
    <w:rsid w:val="00E71393"/>
    <w:rsid w:val="00E77050"/>
    <w:rsid w:val="00E829F6"/>
    <w:rsid w:val="00E974D3"/>
    <w:rsid w:val="00EA010B"/>
    <w:rsid w:val="00EA150A"/>
    <w:rsid w:val="00EB52F4"/>
    <w:rsid w:val="00EB7B43"/>
    <w:rsid w:val="00EC0182"/>
    <w:rsid w:val="00EC24F4"/>
    <w:rsid w:val="00ED0C4B"/>
    <w:rsid w:val="00ED377E"/>
    <w:rsid w:val="00ED3872"/>
    <w:rsid w:val="00ED4C6D"/>
    <w:rsid w:val="00ED73FD"/>
    <w:rsid w:val="00EE0E7F"/>
    <w:rsid w:val="00EF2B6D"/>
    <w:rsid w:val="00EF4B7D"/>
    <w:rsid w:val="00F04126"/>
    <w:rsid w:val="00F0428B"/>
    <w:rsid w:val="00F12571"/>
    <w:rsid w:val="00F26F38"/>
    <w:rsid w:val="00F30DFC"/>
    <w:rsid w:val="00F358C6"/>
    <w:rsid w:val="00F47742"/>
    <w:rsid w:val="00F54647"/>
    <w:rsid w:val="00F56E32"/>
    <w:rsid w:val="00F66CDE"/>
    <w:rsid w:val="00F95A91"/>
    <w:rsid w:val="00F95CD3"/>
    <w:rsid w:val="00FA232C"/>
    <w:rsid w:val="00FA400C"/>
    <w:rsid w:val="00FB1ECF"/>
    <w:rsid w:val="00FC04D0"/>
    <w:rsid w:val="00FD6450"/>
    <w:rsid w:val="00FE151E"/>
    <w:rsid w:val="00FE78CF"/>
    <w:rsid w:val="00FF0FB6"/>
    <w:rsid w:val="00FF5732"/>
    <w:rsid w:val="00FF6769"/>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DF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9A3"/>
    <w:pPr>
      <w:ind w:leftChars="400" w:left="840"/>
    </w:pPr>
  </w:style>
  <w:style w:type="paragraph" w:customStyle="1" w:styleId="1">
    <w:name w:val="リスト段落1"/>
    <w:basedOn w:val="a"/>
    <w:uiPriority w:val="34"/>
    <w:qFormat/>
    <w:rsid w:val="00690FE7"/>
    <w:pPr>
      <w:ind w:leftChars="400" w:left="840"/>
    </w:pPr>
  </w:style>
  <w:style w:type="character" w:styleId="a4">
    <w:name w:val="annotation reference"/>
    <w:basedOn w:val="a0"/>
    <w:uiPriority w:val="99"/>
    <w:semiHidden/>
    <w:unhideWhenUsed/>
    <w:rsid w:val="009850DA"/>
    <w:rPr>
      <w:sz w:val="18"/>
      <w:szCs w:val="18"/>
    </w:rPr>
  </w:style>
  <w:style w:type="paragraph" w:styleId="a5">
    <w:name w:val="annotation text"/>
    <w:basedOn w:val="a"/>
    <w:link w:val="a6"/>
    <w:uiPriority w:val="99"/>
    <w:unhideWhenUsed/>
    <w:rsid w:val="009850DA"/>
    <w:pPr>
      <w:jc w:val="left"/>
    </w:pPr>
  </w:style>
  <w:style w:type="character" w:customStyle="1" w:styleId="a6">
    <w:name w:val="コメント文字列 (文字)"/>
    <w:basedOn w:val="a0"/>
    <w:link w:val="a5"/>
    <w:uiPriority w:val="99"/>
    <w:rsid w:val="009850DA"/>
  </w:style>
  <w:style w:type="paragraph" w:styleId="a7">
    <w:name w:val="annotation subject"/>
    <w:basedOn w:val="a5"/>
    <w:next w:val="a5"/>
    <w:link w:val="a8"/>
    <w:uiPriority w:val="99"/>
    <w:semiHidden/>
    <w:unhideWhenUsed/>
    <w:rsid w:val="009850DA"/>
    <w:rPr>
      <w:b/>
      <w:bCs/>
    </w:rPr>
  </w:style>
  <w:style w:type="character" w:customStyle="1" w:styleId="a8">
    <w:name w:val="コメント内容 (文字)"/>
    <w:basedOn w:val="a6"/>
    <w:link w:val="a7"/>
    <w:uiPriority w:val="99"/>
    <w:semiHidden/>
    <w:rsid w:val="009850DA"/>
    <w:rPr>
      <w:b/>
      <w:bCs/>
    </w:rPr>
  </w:style>
  <w:style w:type="paragraph" w:styleId="a9">
    <w:name w:val="Balloon Text"/>
    <w:basedOn w:val="a"/>
    <w:link w:val="aa"/>
    <w:uiPriority w:val="99"/>
    <w:semiHidden/>
    <w:unhideWhenUsed/>
    <w:rsid w:val="00985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50DA"/>
    <w:rPr>
      <w:rFonts w:asciiTheme="majorHAnsi" w:eastAsiaTheme="majorEastAsia" w:hAnsiTheme="majorHAnsi" w:cstheme="majorBidi"/>
      <w:sz w:val="18"/>
      <w:szCs w:val="18"/>
    </w:rPr>
  </w:style>
  <w:style w:type="paragraph" w:styleId="ab">
    <w:name w:val="footer"/>
    <w:basedOn w:val="a"/>
    <w:link w:val="ac"/>
    <w:uiPriority w:val="99"/>
    <w:unhideWhenUsed/>
    <w:qFormat/>
    <w:rsid w:val="005438C8"/>
    <w:pPr>
      <w:tabs>
        <w:tab w:val="center" w:pos="4252"/>
        <w:tab w:val="right" w:pos="8504"/>
      </w:tabs>
      <w:snapToGrid w:val="0"/>
      <w:spacing w:after="100" w:afterAutospacing="1"/>
      <w:jc w:val="center"/>
    </w:pPr>
  </w:style>
  <w:style w:type="character" w:customStyle="1" w:styleId="ac">
    <w:name w:val="フッター (文字)"/>
    <w:basedOn w:val="a0"/>
    <w:link w:val="ab"/>
    <w:uiPriority w:val="99"/>
    <w:rsid w:val="005438C8"/>
  </w:style>
  <w:style w:type="paragraph" w:styleId="ad">
    <w:name w:val="header"/>
    <w:basedOn w:val="a"/>
    <w:link w:val="ae"/>
    <w:uiPriority w:val="99"/>
    <w:unhideWhenUsed/>
    <w:rsid w:val="00ED0C4B"/>
    <w:pPr>
      <w:tabs>
        <w:tab w:val="center" w:pos="4252"/>
        <w:tab w:val="right" w:pos="8504"/>
      </w:tabs>
      <w:snapToGrid w:val="0"/>
    </w:pPr>
  </w:style>
  <w:style w:type="character" w:customStyle="1" w:styleId="ae">
    <w:name w:val="ヘッダー (文字)"/>
    <w:basedOn w:val="a0"/>
    <w:link w:val="ad"/>
    <w:uiPriority w:val="99"/>
    <w:rsid w:val="00ED0C4B"/>
  </w:style>
  <w:style w:type="paragraph" w:styleId="af">
    <w:name w:val="Revision"/>
    <w:hidden/>
    <w:uiPriority w:val="99"/>
    <w:semiHidden/>
    <w:rsid w:val="004E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635">
      <w:bodyDiv w:val="1"/>
      <w:marLeft w:val="0"/>
      <w:marRight w:val="0"/>
      <w:marTop w:val="0"/>
      <w:marBottom w:val="0"/>
      <w:divBdr>
        <w:top w:val="none" w:sz="0" w:space="0" w:color="auto"/>
        <w:left w:val="none" w:sz="0" w:space="0" w:color="auto"/>
        <w:bottom w:val="none" w:sz="0" w:space="0" w:color="auto"/>
        <w:right w:val="none" w:sz="0" w:space="0" w:color="auto"/>
      </w:divBdr>
    </w:div>
    <w:div w:id="131364663">
      <w:bodyDiv w:val="1"/>
      <w:marLeft w:val="0"/>
      <w:marRight w:val="0"/>
      <w:marTop w:val="0"/>
      <w:marBottom w:val="0"/>
      <w:divBdr>
        <w:top w:val="none" w:sz="0" w:space="0" w:color="auto"/>
        <w:left w:val="none" w:sz="0" w:space="0" w:color="auto"/>
        <w:bottom w:val="none" w:sz="0" w:space="0" w:color="auto"/>
        <w:right w:val="none" w:sz="0" w:space="0" w:color="auto"/>
      </w:divBdr>
    </w:div>
    <w:div w:id="171186276">
      <w:bodyDiv w:val="1"/>
      <w:marLeft w:val="0"/>
      <w:marRight w:val="0"/>
      <w:marTop w:val="0"/>
      <w:marBottom w:val="0"/>
      <w:divBdr>
        <w:top w:val="none" w:sz="0" w:space="0" w:color="auto"/>
        <w:left w:val="none" w:sz="0" w:space="0" w:color="auto"/>
        <w:bottom w:val="none" w:sz="0" w:space="0" w:color="auto"/>
        <w:right w:val="none" w:sz="0" w:space="0" w:color="auto"/>
      </w:divBdr>
    </w:div>
    <w:div w:id="198201053">
      <w:bodyDiv w:val="1"/>
      <w:marLeft w:val="0"/>
      <w:marRight w:val="0"/>
      <w:marTop w:val="0"/>
      <w:marBottom w:val="0"/>
      <w:divBdr>
        <w:top w:val="none" w:sz="0" w:space="0" w:color="auto"/>
        <w:left w:val="none" w:sz="0" w:space="0" w:color="auto"/>
        <w:bottom w:val="none" w:sz="0" w:space="0" w:color="auto"/>
        <w:right w:val="none" w:sz="0" w:space="0" w:color="auto"/>
      </w:divBdr>
    </w:div>
    <w:div w:id="238097038">
      <w:bodyDiv w:val="1"/>
      <w:marLeft w:val="0"/>
      <w:marRight w:val="0"/>
      <w:marTop w:val="0"/>
      <w:marBottom w:val="0"/>
      <w:divBdr>
        <w:top w:val="none" w:sz="0" w:space="0" w:color="auto"/>
        <w:left w:val="none" w:sz="0" w:space="0" w:color="auto"/>
        <w:bottom w:val="none" w:sz="0" w:space="0" w:color="auto"/>
        <w:right w:val="none" w:sz="0" w:space="0" w:color="auto"/>
      </w:divBdr>
    </w:div>
    <w:div w:id="373967218">
      <w:bodyDiv w:val="1"/>
      <w:marLeft w:val="0"/>
      <w:marRight w:val="0"/>
      <w:marTop w:val="0"/>
      <w:marBottom w:val="0"/>
      <w:divBdr>
        <w:top w:val="none" w:sz="0" w:space="0" w:color="auto"/>
        <w:left w:val="none" w:sz="0" w:space="0" w:color="auto"/>
        <w:bottom w:val="none" w:sz="0" w:space="0" w:color="auto"/>
        <w:right w:val="none" w:sz="0" w:space="0" w:color="auto"/>
      </w:divBdr>
    </w:div>
    <w:div w:id="590284494">
      <w:bodyDiv w:val="1"/>
      <w:marLeft w:val="0"/>
      <w:marRight w:val="0"/>
      <w:marTop w:val="0"/>
      <w:marBottom w:val="0"/>
      <w:divBdr>
        <w:top w:val="none" w:sz="0" w:space="0" w:color="auto"/>
        <w:left w:val="none" w:sz="0" w:space="0" w:color="auto"/>
        <w:bottom w:val="none" w:sz="0" w:space="0" w:color="auto"/>
        <w:right w:val="none" w:sz="0" w:space="0" w:color="auto"/>
      </w:divBdr>
    </w:div>
    <w:div w:id="770709618">
      <w:bodyDiv w:val="1"/>
      <w:marLeft w:val="0"/>
      <w:marRight w:val="0"/>
      <w:marTop w:val="0"/>
      <w:marBottom w:val="0"/>
      <w:divBdr>
        <w:top w:val="none" w:sz="0" w:space="0" w:color="auto"/>
        <w:left w:val="none" w:sz="0" w:space="0" w:color="auto"/>
        <w:bottom w:val="none" w:sz="0" w:space="0" w:color="auto"/>
        <w:right w:val="none" w:sz="0" w:space="0" w:color="auto"/>
      </w:divBdr>
    </w:div>
    <w:div w:id="793837806">
      <w:bodyDiv w:val="1"/>
      <w:marLeft w:val="0"/>
      <w:marRight w:val="0"/>
      <w:marTop w:val="0"/>
      <w:marBottom w:val="0"/>
      <w:divBdr>
        <w:top w:val="none" w:sz="0" w:space="0" w:color="auto"/>
        <w:left w:val="none" w:sz="0" w:space="0" w:color="auto"/>
        <w:bottom w:val="none" w:sz="0" w:space="0" w:color="auto"/>
        <w:right w:val="none" w:sz="0" w:space="0" w:color="auto"/>
      </w:divBdr>
    </w:div>
    <w:div w:id="832840427">
      <w:bodyDiv w:val="1"/>
      <w:marLeft w:val="0"/>
      <w:marRight w:val="0"/>
      <w:marTop w:val="0"/>
      <w:marBottom w:val="0"/>
      <w:divBdr>
        <w:top w:val="none" w:sz="0" w:space="0" w:color="auto"/>
        <w:left w:val="none" w:sz="0" w:space="0" w:color="auto"/>
        <w:bottom w:val="none" w:sz="0" w:space="0" w:color="auto"/>
        <w:right w:val="none" w:sz="0" w:space="0" w:color="auto"/>
      </w:divBdr>
    </w:div>
    <w:div w:id="866869014">
      <w:bodyDiv w:val="1"/>
      <w:marLeft w:val="0"/>
      <w:marRight w:val="0"/>
      <w:marTop w:val="0"/>
      <w:marBottom w:val="0"/>
      <w:divBdr>
        <w:top w:val="none" w:sz="0" w:space="0" w:color="auto"/>
        <w:left w:val="none" w:sz="0" w:space="0" w:color="auto"/>
        <w:bottom w:val="none" w:sz="0" w:space="0" w:color="auto"/>
        <w:right w:val="none" w:sz="0" w:space="0" w:color="auto"/>
      </w:divBdr>
    </w:div>
    <w:div w:id="872882282">
      <w:bodyDiv w:val="1"/>
      <w:marLeft w:val="0"/>
      <w:marRight w:val="0"/>
      <w:marTop w:val="0"/>
      <w:marBottom w:val="0"/>
      <w:divBdr>
        <w:top w:val="none" w:sz="0" w:space="0" w:color="auto"/>
        <w:left w:val="none" w:sz="0" w:space="0" w:color="auto"/>
        <w:bottom w:val="none" w:sz="0" w:space="0" w:color="auto"/>
        <w:right w:val="none" w:sz="0" w:space="0" w:color="auto"/>
      </w:divBdr>
    </w:div>
    <w:div w:id="957251357">
      <w:bodyDiv w:val="1"/>
      <w:marLeft w:val="0"/>
      <w:marRight w:val="0"/>
      <w:marTop w:val="0"/>
      <w:marBottom w:val="0"/>
      <w:divBdr>
        <w:top w:val="none" w:sz="0" w:space="0" w:color="auto"/>
        <w:left w:val="none" w:sz="0" w:space="0" w:color="auto"/>
        <w:bottom w:val="none" w:sz="0" w:space="0" w:color="auto"/>
        <w:right w:val="none" w:sz="0" w:space="0" w:color="auto"/>
      </w:divBdr>
    </w:div>
    <w:div w:id="1048453512">
      <w:bodyDiv w:val="1"/>
      <w:marLeft w:val="0"/>
      <w:marRight w:val="0"/>
      <w:marTop w:val="0"/>
      <w:marBottom w:val="0"/>
      <w:divBdr>
        <w:top w:val="none" w:sz="0" w:space="0" w:color="auto"/>
        <w:left w:val="none" w:sz="0" w:space="0" w:color="auto"/>
        <w:bottom w:val="none" w:sz="0" w:space="0" w:color="auto"/>
        <w:right w:val="none" w:sz="0" w:space="0" w:color="auto"/>
      </w:divBdr>
    </w:div>
    <w:div w:id="1141734091">
      <w:bodyDiv w:val="1"/>
      <w:marLeft w:val="0"/>
      <w:marRight w:val="0"/>
      <w:marTop w:val="0"/>
      <w:marBottom w:val="0"/>
      <w:divBdr>
        <w:top w:val="none" w:sz="0" w:space="0" w:color="auto"/>
        <w:left w:val="none" w:sz="0" w:space="0" w:color="auto"/>
        <w:bottom w:val="none" w:sz="0" w:space="0" w:color="auto"/>
        <w:right w:val="none" w:sz="0" w:space="0" w:color="auto"/>
      </w:divBdr>
    </w:div>
    <w:div w:id="1242982627">
      <w:bodyDiv w:val="1"/>
      <w:marLeft w:val="0"/>
      <w:marRight w:val="0"/>
      <w:marTop w:val="0"/>
      <w:marBottom w:val="0"/>
      <w:divBdr>
        <w:top w:val="none" w:sz="0" w:space="0" w:color="auto"/>
        <w:left w:val="none" w:sz="0" w:space="0" w:color="auto"/>
        <w:bottom w:val="none" w:sz="0" w:space="0" w:color="auto"/>
        <w:right w:val="none" w:sz="0" w:space="0" w:color="auto"/>
      </w:divBdr>
    </w:div>
    <w:div w:id="1404251799">
      <w:bodyDiv w:val="1"/>
      <w:marLeft w:val="0"/>
      <w:marRight w:val="0"/>
      <w:marTop w:val="0"/>
      <w:marBottom w:val="0"/>
      <w:divBdr>
        <w:top w:val="none" w:sz="0" w:space="0" w:color="auto"/>
        <w:left w:val="none" w:sz="0" w:space="0" w:color="auto"/>
        <w:bottom w:val="none" w:sz="0" w:space="0" w:color="auto"/>
        <w:right w:val="none" w:sz="0" w:space="0" w:color="auto"/>
      </w:divBdr>
    </w:div>
    <w:div w:id="1415203031">
      <w:bodyDiv w:val="1"/>
      <w:marLeft w:val="0"/>
      <w:marRight w:val="0"/>
      <w:marTop w:val="0"/>
      <w:marBottom w:val="0"/>
      <w:divBdr>
        <w:top w:val="none" w:sz="0" w:space="0" w:color="auto"/>
        <w:left w:val="none" w:sz="0" w:space="0" w:color="auto"/>
        <w:bottom w:val="none" w:sz="0" w:space="0" w:color="auto"/>
        <w:right w:val="none" w:sz="0" w:space="0" w:color="auto"/>
      </w:divBdr>
    </w:div>
    <w:div w:id="1580286073">
      <w:bodyDiv w:val="1"/>
      <w:marLeft w:val="0"/>
      <w:marRight w:val="0"/>
      <w:marTop w:val="0"/>
      <w:marBottom w:val="0"/>
      <w:divBdr>
        <w:top w:val="none" w:sz="0" w:space="0" w:color="auto"/>
        <w:left w:val="none" w:sz="0" w:space="0" w:color="auto"/>
        <w:bottom w:val="none" w:sz="0" w:space="0" w:color="auto"/>
        <w:right w:val="none" w:sz="0" w:space="0" w:color="auto"/>
      </w:divBdr>
    </w:div>
    <w:div w:id="1805350045">
      <w:bodyDiv w:val="1"/>
      <w:marLeft w:val="0"/>
      <w:marRight w:val="0"/>
      <w:marTop w:val="0"/>
      <w:marBottom w:val="0"/>
      <w:divBdr>
        <w:top w:val="none" w:sz="0" w:space="0" w:color="auto"/>
        <w:left w:val="none" w:sz="0" w:space="0" w:color="auto"/>
        <w:bottom w:val="none" w:sz="0" w:space="0" w:color="auto"/>
        <w:right w:val="none" w:sz="0" w:space="0" w:color="auto"/>
      </w:divBdr>
    </w:div>
    <w:div w:id="1955672997">
      <w:bodyDiv w:val="1"/>
      <w:marLeft w:val="0"/>
      <w:marRight w:val="0"/>
      <w:marTop w:val="0"/>
      <w:marBottom w:val="0"/>
      <w:divBdr>
        <w:top w:val="none" w:sz="0" w:space="0" w:color="auto"/>
        <w:left w:val="none" w:sz="0" w:space="0" w:color="auto"/>
        <w:bottom w:val="none" w:sz="0" w:space="0" w:color="auto"/>
        <w:right w:val="none" w:sz="0" w:space="0" w:color="auto"/>
      </w:divBdr>
      <w:divsChild>
        <w:div w:id="1530952595">
          <w:marLeft w:val="0"/>
          <w:marRight w:val="0"/>
          <w:marTop w:val="0"/>
          <w:marBottom w:val="0"/>
          <w:divBdr>
            <w:top w:val="none" w:sz="0" w:space="0" w:color="auto"/>
            <w:left w:val="none" w:sz="0" w:space="0" w:color="auto"/>
            <w:bottom w:val="none" w:sz="0" w:space="0" w:color="auto"/>
            <w:right w:val="none" w:sz="0" w:space="0" w:color="auto"/>
          </w:divBdr>
        </w:div>
        <w:div w:id="1670132752">
          <w:marLeft w:val="0"/>
          <w:marRight w:val="0"/>
          <w:marTop w:val="0"/>
          <w:marBottom w:val="0"/>
          <w:divBdr>
            <w:top w:val="none" w:sz="0" w:space="0" w:color="auto"/>
            <w:left w:val="none" w:sz="0" w:space="0" w:color="auto"/>
            <w:bottom w:val="none" w:sz="0" w:space="0" w:color="auto"/>
            <w:right w:val="none" w:sz="0" w:space="0" w:color="auto"/>
          </w:divBdr>
        </w:div>
      </w:divsChild>
    </w:div>
    <w:div w:id="2044135412">
      <w:bodyDiv w:val="1"/>
      <w:marLeft w:val="0"/>
      <w:marRight w:val="0"/>
      <w:marTop w:val="0"/>
      <w:marBottom w:val="0"/>
      <w:divBdr>
        <w:top w:val="none" w:sz="0" w:space="0" w:color="auto"/>
        <w:left w:val="none" w:sz="0" w:space="0" w:color="auto"/>
        <w:bottom w:val="none" w:sz="0" w:space="0" w:color="auto"/>
        <w:right w:val="none" w:sz="0" w:space="0" w:color="auto"/>
      </w:divBdr>
    </w:div>
    <w:div w:id="20712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2019-04-01T05:14:00Z</dcterms:created>
  <dcterms:modified xsi:type="dcterms:W3CDTF">2019-04-16T03:29:00Z</dcterms:modified>
</cp:coreProperties>
</file>